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2213A" w14:textId="77777777"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9BBF701" wp14:editId="4AFFCC6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B919505" w14:textId="77777777" w:rsidR="00C479BF" w:rsidRDefault="00C479BF" w:rsidP="005B0036">
      <w:pPr>
        <w:rPr>
          <w:sz w:val="24"/>
          <w:szCs w:val="24"/>
        </w:rPr>
      </w:pPr>
    </w:p>
    <w:p w14:paraId="126E6A80" w14:textId="375E9B88" w:rsidR="005B0036" w:rsidRPr="00406EE7" w:rsidRDefault="005B0036" w:rsidP="005B0036">
      <w:pPr>
        <w:tabs>
          <w:tab w:val="right" w:pos="9356"/>
        </w:tabs>
        <w:rPr>
          <w:b/>
          <w:sz w:val="24"/>
          <w:szCs w:val="24"/>
        </w:rPr>
      </w:pPr>
      <w:r>
        <w:rPr>
          <w:b/>
          <w:sz w:val="24"/>
          <w:szCs w:val="24"/>
        </w:rPr>
        <w:tab/>
      </w:r>
      <w:r w:rsidR="00596142">
        <w:rPr>
          <w:b/>
          <w:sz w:val="24"/>
          <w:szCs w:val="24"/>
        </w:rPr>
        <w:t>12. august 2022</w:t>
      </w:r>
    </w:p>
    <w:p w14:paraId="30F8724A" w14:textId="77777777" w:rsidR="005B0036" w:rsidRPr="00406EE7" w:rsidRDefault="005B0036" w:rsidP="005B0036">
      <w:pPr>
        <w:rPr>
          <w:sz w:val="24"/>
          <w:szCs w:val="24"/>
        </w:rPr>
      </w:pPr>
    </w:p>
    <w:p w14:paraId="6E205635" w14:textId="77777777" w:rsidR="00C479BF" w:rsidRDefault="00C479BF" w:rsidP="005B0036">
      <w:pPr>
        <w:tabs>
          <w:tab w:val="left" w:pos="8222"/>
        </w:tabs>
        <w:jc w:val="center"/>
        <w:rPr>
          <w:b/>
          <w:sz w:val="24"/>
          <w:szCs w:val="24"/>
        </w:rPr>
      </w:pPr>
    </w:p>
    <w:p w14:paraId="69983346" w14:textId="77777777" w:rsidR="005B0036" w:rsidRPr="00406EE7" w:rsidRDefault="005B0036" w:rsidP="005B0036">
      <w:pPr>
        <w:tabs>
          <w:tab w:val="left" w:pos="8222"/>
        </w:tabs>
        <w:jc w:val="center"/>
        <w:rPr>
          <w:b/>
          <w:sz w:val="24"/>
          <w:szCs w:val="24"/>
        </w:rPr>
      </w:pPr>
      <w:r w:rsidRPr="00406EE7">
        <w:rPr>
          <w:b/>
          <w:sz w:val="24"/>
          <w:szCs w:val="24"/>
        </w:rPr>
        <w:t>PRODUKTRESUMÉ</w:t>
      </w:r>
    </w:p>
    <w:p w14:paraId="0EF406BC" w14:textId="77777777" w:rsidR="005B0036" w:rsidRPr="00406EE7" w:rsidRDefault="005B0036" w:rsidP="005B0036">
      <w:pPr>
        <w:tabs>
          <w:tab w:val="left" w:pos="8222"/>
        </w:tabs>
        <w:jc w:val="center"/>
        <w:rPr>
          <w:b/>
          <w:sz w:val="24"/>
          <w:szCs w:val="24"/>
        </w:rPr>
      </w:pPr>
    </w:p>
    <w:p w14:paraId="42B308E7" w14:textId="77777777" w:rsidR="005B0036" w:rsidRPr="00406EE7" w:rsidRDefault="005B0036" w:rsidP="005B0036">
      <w:pPr>
        <w:tabs>
          <w:tab w:val="left" w:pos="8222"/>
        </w:tabs>
        <w:jc w:val="center"/>
        <w:rPr>
          <w:b/>
          <w:sz w:val="24"/>
          <w:szCs w:val="24"/>
        </w:rPr>
      </w:pPr>
      <w:r w:rsidRPr="00406EE7">
        <w:rPr>
          <w:b/>
          <w:sz w:val="24"/>
          <w:szCs w:val="24"/>
        </w:rPr>
        <w:t>for</w:t>
      </w:r>
    </w:p>
    <w:p w14:paraId="69695F01" w14:textId="77777777" w:rsidR="005B0036" w:rsidRPr="00406EE7" w:rsidRDefault="005B0036" w:rsidP="005B0036">
      <w:pPr>
        <w:tabs>
          <w:tab w:val="left" w:pos="8222"/>
        </w:tabs>
        <w:jc w:val="center"/>
        <w:rPr>
          <w:b/>
          <w:sz w:val="24"/>
          <w:szCs w:val="24"/>
        </w:rPr>
      </w:pPr>
    </w:p>
    <w:p w14:paraId="0A6EA872" w14:textId="083235FC" w:rsidR="005B0036" w:rsidRPr="00565A74" w:rsidRDefault="00053365" w:rsidP="005B0036">
      <w:pPr>
        <w:tabs>
          <w:tab w:val="left" w:pos="8222"/>
        </w:tabs>
        <w:jc w:val="center"/>
        <w:rPr>
          <w:b/>
          <w:sz w:val="24"/>
          <w:szCs w:val="24"/>
        </w:rPr>
      </w:pPr>
      <w:r>
        <w:rPr>
          <w:b/>
          <w:sz w:val="24"/>
          <w:szCs w:val="24"/>
        </w:rPr>
        <w:t>V</w:t>
      </w:r>
      <w:r w:rsidR="0091362C" w:rsidRPr="0091362C">
        <w:rPr>
          <w:b/>
          <w:sz w:val="24"/>
          <w:szCs w:val="24"/>
        </w:rPr>
        <w:t>eterelin, injektionsvæske, opløsning</w:t>
      </w:r>
    </w:p>
    <w:p w14:paraId="5240D349" w14:textId="77777777" w:rsidR="005B0036" w:rsidRPr="00406EE7" w:rsidRDefault="005B0036" w:rsidP="005B0036">
      <w:pPr>
        <w:tabs>
          <w:tab w:val="left" w:pos="8222"/>
        </w:tabs>
        <w:jc w:val="both"/>
        <w:rPr>
          <w:sz w:val="24"/>
          <w:szCs w:val="24"/>
        </w:rPr>
      </w:pPr>
    </w:p>
    <w:p w14:paraId="5BDA2064" w14:textId="77777777"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14:paraId="5A19768A" w14:textId="5D09345A" w:rsidR="005B0036" w:rsidRPr="00406EE7" w:rsidRDefault="00053365" w:rsidP="005B0036">
      <w:pPr>
        <w:tabs>
          <w:tab w:val="left" w:pos="8222"/>
        </w:tabs>
        <w:ind w:left="851"/>
        <w:rPr>
          <w:sz w:val="24"/>
          <w:szCs w:val="24"/>
        </w:rPr>
      </w:pPr>
      <w:r>
        <w:rPr>
          <w:sz w:val="24"/>
          <w:szCs w:val="24"/>
        </w:rPr>
        <w:t>32809</w:t>
      </w:r>
    </w:p>
    <w:p w14:paraId="1DE580A6" w14:textId="77777777" w:rsidR="005B0036" w:rsidRPr="00406EE7" w:rsidRDefault="005B0036" w:rsidP="005B0036">
      <w:pPr>
        <w:tabs>
          <w:tab w:val="left" w:pos="8222"/>
        </w:tabs>
        <w:ind w:left="851"/>
        <w:rPr>
          <w:sz w:val="24"/>
          <w:szCs w:val="24"/>
        </w:rPr>
      </w:pPr>
    </w:p>
    <w:p w14:paraId="08852518" w14:textId="77777777"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14:paraId="76ECB373" w14:textId="3B10CF6E" w:rsidR="005B0036" w:rsidRPr="00406EE7" w:rsidRDefault="00053365" w:rsidP="005B0036">
      <w:pPr>
        <w:tabs>
          <w:tab w:val="left" w:pos="8222"/>
        </w:tabs>
        <w:ind w:left="851"/>
        <w:rPr>
          <w:sz w:val="24"/>
          <w:szCs w:val="24"/>
        </w:rPr>
      </w:pPr>
      <w:r>
        <w:rPr>
          <w:sz w:val="24"/>
          <w:szCs w:val="24"/>
        </w:rPr>
        <w:t>Veterelin</w:t>
      </w:r>
    </w:p>
    <w:p w14:paraId="71AD49A5" w14:textId="77777777" w:rsidR="005B0036" w:rsidRPr="00406EE7" w:rsidRDefault="005B0036" w:rsidP="005B0036">
      <w:pPr>
        <w:tabs>
          <w:tab w:val="left" w:pos="8222"/>
        </w:tabs>
        <w:ind w:left="851"/>
        <w:rPr>
          <w:sz w:val="24"/>
          <w:szCs w:val="24"/>
        </w:rPr>
      </w:pPr>
    </w:p>
    <w:p w14:paraId="1FEF3D59" w14:textId="77777777"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14:paraId="14CA0A03" w14:textId="742FFCBD" w:rsidR="00654ED8" w:rsidRPr="00654ED8" w:rsidRDefault="00654ED8" w:rsidP="00654ED8">
      <w:pPr>
        <w:tabs>
          <w:tab w:val="left" w:pos="8222"/>
        </w:tabs>
        <w:ind w:left="851"/>
        <w:rPr>
          <w:sz w:val="24"/>
          <w:szCs w:val="24"/>
        </w:rPr>
      </w:pPr>
      <w:r w:rsidRPr="00654ED8">
        <w:rPr>
          <w:sz w:val="24"/>
          <w:szCs w:val="24"/>
        </w:rPr>
        <w:t xml:space="preserve">Hver ml injektionsvæske, opløsning indeholder: </w:t>
      </w:r>
    </w:p>
    <w:p w14:paraId="25EEC319" w14:textId="77777777" w:rsidR="00654ED8" w:rsidRPr="00654ED8" w:rsidRDefault="00654ED8" w:rsidP="00654ED8">
      <w:pPr>
        <w:tabs>
          <w:tab w:val="left" w:pos="8222"/>
        </w:tabs>
        <w:ind w:left="851"/>
        <w:rPr>
          <w:sz w:val="24"/>
          <w:szCs w:val="24"/>
        </w:rPr>
      </w:pPr>
    </w:p>
    <w:p w14:paraId="53BF5DCA" w14:textId="45BF59E9" w:rsidR="00654ED8" w:rsidRPr="00654ED8" w:rsidRDefault="00654ED8" w:rsidP="00654ED8">
      <w:pPr>
        <w:tabs>
          <w:tab w:val="left" w:pos="8222"/>
        </w:tabs>
        <w:ind w:left="851"/>
        <w:rPr>
          <w:sz w:val="24"/>
          <w:szCs w:val="24"/>
          <w:u w:val="single"/>
        </w:rPr>
      </w:pPr>
      <w:r w:rsidRPr="00654ED8">
        <w:rPr>
          <w:sz w:val="24"/>
          <w:szCs w:val="24"/>
          <w:u w:val="single"/>
        </w:rPr>
        <w:t>Aktivt stof</w:t>
      </w:r>
    </w:p>
    <w:p w14:paraId="6F7DE1B3" w14:textId="2FBDA926" w:rsidR="00654ED8" w:rsidRPr="00654ED8" w:rsidRDefault="00654ED8" w:rsidP="00654ED8">
      <w:pPr>
        <w:tabs>
          <w:tab w:val="left" w:pos="5103"/>
          <w:tab w:val="left" w:pos="8222"/>
        </w:tabs>
        <w:ind w:left="851"/>
        <w:rPr>
          <w:sz w:val="24"/>
          <w:szCs w:val="24"/>
        </w:rPr>
      </w:pPr>
      <w:r w:rsidRPr="00654ED8">
        <w:rPr>
          <w:sz w:val="24"/>
          <w:szCs w:val="24"/>
        </w:rPr>
        <w:t>Buserelin</w:t>
      </w:r>
      <w:r w:rsidRPr="00654ED8">
        <w:rPr>
          <w:sz w:val="24"/>
          <w:szCs w:val="24"/>
        </w:rPr>
        <w:tab/>
        <w:t>0,004 mg</w:t>
      </w:r>
    </w:p>
    <w:p w14:paraId="4B488FA1" w14:textId="77777777" w:rsidR="00654ED8" w:rsidRPr="00654ED8" w:rsidRDefault="00654ED8" w:rsidP="00654ED8">
      <w:pPr>
        <w:tabs>
          <w:tab w:val="left" w:pos="8222"/>
        </w:tabs>
        <w:ind w:left="851"/>
        <w:rPr>
          <w:sz w:val="24"/>
          <w:szCs w:val="24"/>
        </w:rPr>
      </w:pPr>
      <w:r w:rsidRPr="00654ED8">
        <w:rPr>
          <w:sz w:val="24"/>
          <w:szCs w:val="24"/>
        </w:rPr>
        <w:t>(svarende til 0,0042 mg Buserelin-acetat)</w:t>
      </w:r>
    </w:p>
    <w:p w14:paraId="39BAFA37" w14:textId="77777777" w:rsidR="00654ED8" w:rsidRPr="00654ED8" w:rsidRDefault="00654ED8" w:rsidP="00654ED8">
      <w:pPr>
        <w:tabs>
          <w:tab w:val="left" w:pos="8222"/>
        </w:tabs>
        <w:ind w:left="851"/>
        <w:rPr>
          <w:sz w:val="24"/>
          <w:szCs w:val="24"/>
        </w:rPr>
      </w:pPr>
    </w:p>
    <w:p w14:paraId="551DEAF1" w14:textId="58E9289E" w:rsidR="00654ED8" w:rsidRPr="00654ED8" w:rsidRDefault="00654ED8" w:rsidP="00654ED8">
      <w:pPr>
        <w:tabs>
          <w:tab w:val="left" w:pos="8222"/>
        </w:tabs>
        <w:ind w:left="851"/>
        <w:rPr>
          <w:bCs/>
          <w:sz w:val="24"/>
          <w:szCs w:val="24"/>
          <w:u w:val="single"/>
        </w:rPr>
      </w:pPr>
      <w:r w:rsidRPr="00654ED8">
        <w:rPr>
          <w:bCs/>
          <w:sz w:val="24"/>
          <w:szCs w:val="24"/>
          <w:u w:val="single"/>
        </w:rPr>
        <w:t>Hjælpestof</w:t>
      </w:r>
    </w:p>
    <w:p w14:paraId="77CB0D05" w14:textId="03C82199" w:rsidR="00654ED8" w:rsidRPr="00654ED8" w:rsidRDefault="00654ED8" w:rsidP="00654ED8">
      <w:pPr>
        <w:tabs>
          <w:tab w:val="left" w:pos="5103"/>
          <w:tab w:val="left" w:pos="8222"/>
        </w:tabs>
        <w:ind w:left="851"/>
        <w:rPr>
          <w:sz w:val="24"/>
          <w:szCs w:val="24"/>
        </w:rPr>
      </w:pPr>
      <w:r w:rsidRPr="00654ED8">
        <w:rPr>
          <w:sz w:val="24"/>
          <w:szCs w:val="24"/>
        </w:rPr>
        <w:t>Benzylalkohol (E1519)</w:t>
      </w:r>
      <w:r w:rsidRPr="00654ED8">
        <w:rPr>
          <w:sz w:val="24"/>
          <w:szCs w:val="24"/>
        </w:rPr>
        <w:tab/>
        <w:t>10 mg</w:t>
      </w:r>
    </w:p>
    <w:p w14:paraId="43BF611E" w14:textId="77777777" w:rsidR="00654ED8" w:rsidRPr="00654ED8" w:rsidRDefault="00654ED8" w:rsidP="00654ED8">
      <w:pPr>
        <w:tabs>
          <w:tab w:val="left" w:pos="8222"/>
        </w:tabs>
        <w:ind w:left="851"/>
        <w:rPr>
          <w:sz w:val="24"/>
          <w:szCs w:val="24"/>
        </w:rPr>
      </w:pPr>
    </w:p>
    <w:p w14:paraId="1FFD8FBF" w14:textId="77777777" w:rsidR="00654ED8" w:rsidRPr="00654ED8" w:rsidRDefault="00654ED8" w:rsidP="00654ED8">
      <w:pPr>
        <w:tabs>
          <w:tab w:val="left" w:pos="8222"/>
        </w:tabs>
        <w:ind w:left="851"/>
        <w:rPr>
          <w:sz w:val="24"/>
          <w:szCs w:val="24"/>
        </w:rPr>
      </w:pPr>
      <w:r w:rsidRPr="00654ED8">
        <w:rPr>
          <w:sz w:val="24"/>
          <w:szCs w:val="24"/>
        </w:rPr>
        <w:t>Alle hjælpestoffer er anført under pkt. 6.1</w:t>
      </w:r>
    </w:p>
    <w:p w14:paraId="094F646C" w14:textId="77777777" w:rsidR="005B0036" w:rsidRPr="00406EE7" w:rsidRDefault="005B0036" w:rsidP="005B0036">
      <w:pPr>
        <w:tabs>
          <w:tab w:val="left" w:pos="8222"/>
        </w:tabs>
        <w:ind w:left="851"/>
        <w:rPr>
          <w:sz w:val="24"/>
          <w:szCs w:val="24"/>
        </w:rPr>
      </w:pPr>
    </w:p>
    <w:p w14:paraId="45CC4459" w14:textId="77777777"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14:paraId="6D2CEE00" w14:textId="43165F92" w:rsidR="00654ED8" w:rsidRDefault="00654ED8" w:rsidP="00654ED8">
      <w:pPr>
        <w:tabs>
          <w:tab w:val="left" w:pos="851"/>
          <w:tab w:val="left" w:pos="8222"/>
        </w:tabs>
        <w:ind w:left="851"/>
        <w:rPr>
          <w:sz w:val="24"/>
          <w:szCs w:val="24"/>
        </w:rPr>
      </w:pPr>
      <w:r w:rsidRPr="00654ED8">
        <w:rPr>
          <w:sz w:val="24"/>
          <w:szCs w:val="24"/>
        </w:rPr>
        <w:t>Injektionsvæske, opløsning</w:t>
      </w:r>
    </w:p>
    <w:p w14:paraId="4C5D4D17" w14:textId="77777777" w:rsidR="00654ED8" w:rsidRPr="00654ED8" w:rsidRDefault="00654ED8" w:rsidP="00654ED8">
      <w:pPr>
        <w:tabs>
          <w:tab w:val="left" w:pos="851"/>
          <w:tab w:val="left" w:pos="8222"/>
        </w:tabs>
        <w:ind w:left="851"/>
        <w:rPr>
          <w:sz w:val="24"/>
          <w:szCs w:val="24"/>
        </w:rPr>
      </w:pPr>
    </w:p>
    <w:p w14:paraId="6FB35C46" w14:textId="77777777" w:rsidR="00654ED8" w:rsidRPr="00654ED8" w:rsidRDefault="00654ED8" w:rsidP="00654ED8">
      <w:pPr>
        <w:tabs>
          <w:tab w:val="left" w:pos="851"/>
          <w:tab w:val="left" w:pos="8222"/>
        </w:tabs>
        <w:ind w:left="851"/>
        <w:rPr>
          <w:sz w:val="24"/>
          <w:szCs w:val="24"/>
        </w:rPr>
      </w:pPr>
      <w:r w:rsidRPr="00654ED8">
        <w:rPr>
          <w:sz w:val="24"/>
          <w:szCs w:val="24"/>
        </w:rPr>
        <w:t>Klar og farveløs opløsning.</w:t>
      </w:r>
    </w:p>
    <w:p w14:paraId="2D6927E0" w14:textId="77777777" w:rsidR="005B0036" w:rsidRPr="00406EE7" w:rsidRDefault="005B0036" w:rsidP="005B0036">
      <w:pPr>
        <w:tabs>
          <w:tab w:val="left" w:pos="851"/>
          <w:tab w:val="left" w:pos="8222"/>
        </w:tabs>
        <w:ind w:left="851"/>
        <w:rPr>
          <w:sz w:val="24"/>
          <w:szCs w:val="24"/>
        </w:rPr>
      </w:pPr>
    </w:p>
    <w:p w14:paraId="362B820F" w14:textId="77777777" w:rsidR="005B0036" w:rsidRPr="00406EE7" w:rsidRDefault="005B0036" w:rsidP="005B0036">
      <w:pPr>
        <w:tabs>
          <w:tab w:val="left" w:pos="851"/>
          <w:tab w:val="left" w:pos="8222"/>
        </w:tabs>
        <w:ind w:left="851"/>
        <w:rPr>
          <w:sz w:val="24"/>
          <w:szCs w:val="24"/>
        </w:rPr>
      </w:pPr>
    </w:p>
    <w:p w14:paraId="3E295071" w14:textId="77777777"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14:paraId="51FFD478" w14:textId="77777777" w:rsidR="005B0036" w:rsidRPr="00406EE7" w:rsidRDefault="005B0036" w:rsidP="005B0036">
      <w:pPr>
        <w:tabs>
          <w:tab w:val="left" w:pos="851"/>
          <w:tab w:val="left" w:pos="8222"/>
        </w:tabs>
        <w:ind w:left="851"/>
        <w:rPr>
          <w:sz w:val="24"/>
          <w:szCs w:val="24"/>
        </w:rPr>
      </w:pPr>
    </w:p>
    <w:p w14:paraId="5E86DC21" w14:textId="77777777"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14:paraId="7C6AB166" w14:textId="77777777" w:rsidR="004D0284" w:rsidRDefault="004D0284" w:rsidP="004D0284">
      <w:pPr>
        <w:tabs>
          <w:tab w:val="left" w:pos="8222"/>
        </w:tabs>
        <w:ind w:left="851"/>
        <w:rPr>
          <w:sz w:val="24"/>
          <w:szCs w:val="24"/>
        </w:rPr>
      </w:pPr>
      <w:r w:rsidRPr="004D0284">
        <w:rPr>
          <w:sz w:val="24"/>
          <w:szCs w:val="24"/>
        </w:rPr>
        <w:t>Kvæg</w:t>
      </w:r>
    </w:p>
    <w:p w14:paraId="37DE4640" w14:textId="77777777" w:rsidR="004D0284" w:rsidRDefault="004D0284" w:rsidP="004D0284">
      <w:pPr>
        <w:tabs>
          <w:tab w:val="left" w:pos="8222"/>
        </w:tabs>
        <w:ind w:left="851"/>
        <w:rPr>
          <w:sz w:val="24"/>
          <w:szCs w:val="24"/>
        </w:rPr>
      </w:pPr>
      <w:r>
        <w:rPr>
          <w:sz w:val="24"/>
          <w:szCs w:val="24"/>
        </w:rPr>
        <w:t>H</w:t>
      </w:r>
      <w:r w:rsidRPr="004D0284">
        <w:rPr>
          <w:sz w:val="24"/>
          <w:szCs w:val="24"/>
        </w:rPr>
        <w:t>est</w:t>
      </w:r>
    </w:p>
    <w:p w14:paraId="558B66A9" w14:textId="77777777" w:rsidR="004D0284" w:rsidRDefault="004D0284" w:rsidP="004D0284">
      <w:pPr>
        <w:tabs>
          <w:tab w:val="left" w:pos="8222"/>
        </w:tabs>
        <w:ind w:left="851"/>
        <w:rPr>
          <w:sz w:val="24"/>
          <w:szCs w:val="24"/>
        </w:rPr>
      </w:pPr>
      <w:r>
        <w:rPr>
          <w:sz w:val="24"/>
          <w:szCs w:val="24"/>
        </w:rPr>
        <w:t>S</w:t>
      </w:r>
      <w:r w:rsidRPr="004D0284">
        <w:rPr>
          <w:sz w:val="24"/>
          <w:szCs w:val="24"/>
        </w:rPr>
        <w:t>vin</w:t>
      </w:r>
    </w:p>
    <w:p w14:paraId="7F4E40AB" w14:textId="4AA75560" w:rsidR="004D0284" w:rsidRPr="004D0284" w:rsidRDefault="004D0284" w:rsidP="004D0284">
      <w:pPr>
        <w:tabs>
          <w:tab w:val="left" w:pos="8222"/>
        </w:tabs>
        <w:ind w:left="851"/>
        <w:rPr>
          <w:bCs/>
          <w:sz w:val="24"/>
          <w:szCs w:val="24"/>
        </w:rPr>
      </w:pPr>
      <w:r>
        <w:rPr>
          <w:sz w:val="24"/>
          <w:szCs w:val="24"/>
        </w:rPr>
        <w:t>Kanin</w:t>
      </w:r>
    </w:p>
    <w:p w14:paraId="02F41C18" w14:textId="77777777" w:rsidR="005B0036" w:rsidRPr="00406EE7" w:rsidRDefault="005B0036" w:rsidP="005B0036">
      <w:pPr>
        <w:tabs>
          <w:tab w:val="left" w:pos="8222"/>
        </w:tabs>
        <w:ind w:left="851"/>
        <w:rPr>
          <w:sz w:val="24"/>
          <w:szCs w:val="24"/>
        </w:rPr>
      </w:pPr>
    </w:p>
    <w:p w14:paraId="69E67A24" w14:textId="77777777"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14:paraId="64BA4A3C" w14:textId="77777777" w:rsidR="00A67B00" w:rsidRPr="00A67B00" w:rsidRDefault="00A67B00" w:rsidP="00A67B00">
      <w:pPr>
        <w:pStyle w:val="Sidehoved"/>
        <w:tabs>
          <w:tab w:val="left" w:pos="8222"/>
        </w:tabs>
        <w:ind w:left="851"/>
        <w:rPr>
          <w:b/>
          <w:bCs/>
          <w:szCs w:val="24"/>
        </w:rPr>
      </w:pPr>
    </w:p>
    <w:p w14:paraId="59BED369" w14:textId="74C59732" w:rsidR="00A67B00" w:rsidRPr="00E42126" w:rsidRDefault="00E42126" w:rsidP="00A67B00">
      <w:pPr>
        <w:pStyle w:val="Sidehoved"/>
        <w:tabs>
          <w:tab w:val="left" w:pos="8222"/>
        </w:tabs>
        <w:ind w:left="851"/>
        <w:rPr>
          <w:bCs/>
          <w:szCs w:val="24"/>
          <w:u w:val="single"/>
        </w:rPr>
      </w:pPr>
      <w:r>
        <w:rPr>
          <w:szCs w:val="24"/>
          <w:u w:val="single"/>
        </w:rPr>
        <w:t>Kvæg</w:t>
      </w:r>
    </w:p>
    <w:p w14:paraId="08C14767" w14:textId="5615880D" w:rsidR="00A67B00" w:rsidRPr="00A67B00" w:rsidRDefault="00A67B00" w:rsidP="00333990">
      <w:pPr>
        <w:pStyle w:val="Sidehoved"/>
        <w:numPr>
          <w:ilvl w:val="0"/>
          <w:numId w:val="5"/>
        </w:numPr>
        <w:tabs>
          <w:tab w:val="left" w:pos="8222"/>
        </w:tabs>
        <w:ind w:left="1134" w:hanging="283"/>
        <w:rPr>
          <w:szCs w:val="24"/>
        </w:rPr>
      </w:pPr>
      <w:r w:rsidRPr="00A67B00">
        <w:rPr>
          <w:iCs/>
          <w:szCs w:val="24"/>
        </w:rPr>
        <w:t>Fremkaldelse af ægløsning eller forsinket ægløsning</w:t>
      </w:r>
    </w:p>
    <w:p w14:paraId="79DCEF3D" w14:textId="6B236EB5" w:rsidR="00A67B00" w:rsidRPr="00A67B00" w:rsidRDefault="00A67B00" w:rsidP="00333990">
      <w:pPr>
        <w:pStyle w:val="Sidehoved"/>
        <w:numPr>
          <w:ilvl w:val="0"/>
          <w:numId w:val="5"/>
        </w:numPr>
        <w:tabs>
          <w:tab w:val="left" w:pos="8222"/>
        </w:tabs>
        <w:ind w:left="1134" w:hanging="283"/>
        <w:rPr>
          <w:szCs w:val="24"/>
        </w:rPr>
      </w:pPr>
      <w:r w:rsidRPr="00A67B00">
        <w:rPr>
          <w:iCs/>
          <w:szCs w:val="24"/>
        </w:rPr>
        <w:t xml:space="preserve">Behandling af anøstrus </w:t>
      </w:r>
    </w:p>
    <w:p w14:paraId="2BD2F989" w14:textId="495B0C24" w:rsidR="00A67B00" w:rsidRPr="00A67B00" w:rsidRDefault="00A67B00" w:rsidP="00333990">
      <w:pPr>
        <w:pStyle w:val="Sidehoved"/>
        <w:numPr>
          <w:ilvl w:val="0"/>
          <w:numId w:val="5"/>
        </w:numPr>
        <w:tabs>
          <w:tab w:val="left" w:pos="8222"/>
        </w:tabs>
        <w:ind w:left="1134" w:hanging="283"/>
        <w:rPr>
          <w:szCs w:val="24"/>
        </w:rPr>
      </w:pPr>
      <w:r w:rsidRPr="00A67B00">
        <w:rPr>
          <w:iCs/>
          <w:szCs w:val="24"/>
        </w:rPr>
        <w:lastRenderedPageBreak/>
        <w:t>Behandling af follikulære cyster med eller uden symptomer på nymfomani.</w:t>
      </w:r>
    </w:p>
    <w:p w14:paraId="57BBD8B5" w14:textId="44ED9A9E" w:rsidR="00A67B00" w:rsidRPr="00A67B00" w:rsidRDefault="00A67B00" w:rsidP="00333990">
      <w:pPr>
        <w:pStyle w:val="Sidehoved"/>
        <w:numPr>
          <w:ilvl w:val="0"/>
          <w:numId w:val="5"/>
        </w:numPr>
        <w:tabs>
          <w:tab w:val="left" w:pos="8222"/>
        </w:tabs>
        <w:ind w:left="1134" w:hanging="283"/>
        <w:rPr>
          <w:szCs w:val="24"/>
        </w:rPr>
      </w:pPr>
      <w:r w:rsidRPr="00A67B00">
        <w:rPr>
          <w:iCs/>
          <w:szCs w:val="24"/>
        </w:rPr>
        <w:t>Forbedring af undfangelsesraten ved kunstig insemination, også efter synkronisering af brunst med en PGF2α-analog. Resultaterne kan dog variere afhængigt af avlsforholdene</w:t>
      </w:r>
    </w:p>
    <w:p w14:paraId="5C756CB9" w14:textId="77777777" w:rsidR="00A67B00" w:rsidRPr="00A67B00" w:rsidRDefault="00A67B00" w:rsidP="00A67B00">
      <w:pPr>
        <w:pStyle w:val="Sidehoved"/>
        <w:tabs>
          <w:tab w:val="left" w:pos="8222"/>
        </w:tabs>
        <w:ind w:left="851"/>
        <w:rPr>
          <w:szCs w:val="24"/>
        </w:rPr>
      </w:pPr>
    </w:p>
    <w:p w14:paraId="1FD8CE4D" w14:textId="36300F59" w:rsidR="00A67B00" w:rsidRPr="00333990" w:rsidRDefault="00E42126" w:rsidP="00A67B00">
      <w:pPr>
        <w:pStyle w:val="Sidehoved"/>
        <w:tabs>
          <w:tab w:val="left" w:pos="8222"/>
        </w:tabs>
        <w:ind w:left="851"/>
        <w:rPr>
          <w:szCs w:val="24"/>
          <w:u w:val="single"/>
        </w:rPr>
      </w:pPr>
      <w:r w:rsidRPr="00333990">
        <w:rPr>
          <w:bCs/>
          <w:szCs w:val="24"/>
          <w:u w:val="single"/>
        </w:rPr>
        <w:t>Hest</w:t>
      </w:r>
    </w:p>
    <w:p w14:paraId="5B6F1253" w14:textId="34BB419E" w:rsidR="00A67B00" w:rsidRPr="00A67B00" w:rsidRDefault="00A67B00" w:rsidP="00333990">
      <w:pPr>
        <w:pStyle w:val="Sidehoved"/>
        <w:numPr>
          <w:ilvl w:val="0"/>
          <w:numId w:val="5"/>
        </w:numPr>
        <w:tabs>
          <w:tab w:val="left" w:pos="8222"/>
        </w:tabs>
        <w:ind w:left="1134" w:hanging="283"/>
        <w:rPr>
          <w:szCs w:val="24"/>
        </w:rPr>
      </w:pPr>
      <w:r w:rsidRPr="00A67B00">
        <w:rPr>
          <w:iCs/>
          <w:szCs w:val="24"/>
        </w:rPr>
        <w:t>Fremkaldelse af ægløsning for dermed at synkronisere ægløsning til at ligge tættere på parringstidspunktet hos hopper.</w:t>
      </w:r>
    </w:p>
    <w:p w14:paraId="4F1ED663" w14:textId="0ED10E10" w:rsidR="00A67B00" w:rsidRPr="00A67B00" w:rsidRDefault="00A67B00" w:rsidP="00333990">
      <w:pPr>
        <w:pStyle w:val="Sidehoved"/>
        <w:numPr>
          <w:ilvl w:val="0"/>
          <w:numId w:val="5"/>
        </w:numPr>
        <w:tabs>
          <w:tab w:val="left" w:pos="8222"/>
        </w:tabs>
        <w:ind w:left="1134" w:hanging="283"/>
        <w:rPr>
          <w:szCs w:val="24"/>
        </w:rPr>
      </w:pPr>
      <w:r w:rsidRPr="00A67B00">
        <w:rPr>
          <w:szCs w:val="24"/>
        </w:rPr>
        <w:t>Behandling af follikulære cyster – med eller uden symptomer på nymfomani.</w:t>
      </w:r>
    </w:p>
    <w:p w14:paraId="6D1384CE" w14:textId="77777777" w:rsidR="00A67B00" w:rsidRPr="00A67B00" w:rsidRDefault="00A67B00" w:rsidP="00A67B00">
      <w:pPr>
        <w:pStyle w:val="Sidehoved"/>
        <w:tabs>
          <w:tab w:val="left" w:pos="8222"/>
        </w:tabs>
        <w:ind w:left="851"/>
        <w:rPr>
          <w:szCs w:val="24"/>
        </w:rPr>
      </w:pPr>
    </w:p>
    <w:p w14:paraId="5047860D" w14:textId="3F280A06" w:rsidR="00A67B00" w:rsidRPr="00333990" w:rsidRDefault="00A67B00" w:rsidP="00A67B00">
      <w:pPr>
        <w:pStyle w:val="Sidehoved"/>
        <w:tabs>
          <w:tab w:val="left" w:pos="8222"/>
        </w:tabs>
        <w:ind w:left="851"/>
        <w:rPr>
          <w:bCs/>
          <w:szCs w:val="24"/>
          <w:u w:val="single"/>
        </w:rPr>
      </w:pPr>
      <w:r w:rsidRPr="00333990">
        <w:rPr>
          <w:bCs/>
          <w:szCs w:val="24"/>
          <w:u w:val="single"/>
        </w:rPr>
        <w:t>S</w:t>
      </w:r>
      <w:r w:rsidR="00E42126" w:rsidRPr="00333990">
        <w:rPr>
          <w:bCs/>
          <w:szCs w:val="24"/>
          <w:u w:val="single"/>
        </w:rPr>
        <w:t>vin</w:t>
      </w:r>
    </w:p>
    <w:p w14:paraId="62EE8832" w14:textId="77777777" w:rsidR="00A67B00" w:rsidRPr="00A67B00" w:rsidRDefault="00A67B00" w:rsidP="00A67B00">
      <w:pPr>
        <w:pStyle w:val="Sidehoved"/>
        <w:tabs>
          <w:tab w:val="left" w:pos="8222"/>
        </w:tabs>
        <w:ind w:left="851"/>
        <w:rPr>
          <w:szCs w:val="24"/>
        </w:rPr>
      </w:pPr>
      <w:r w:rsidRPr="00A67B00">
        <w:rPr>
          <w:szCs w:val="24"/>
        </w:rPr>
        <w:t xml:space="preserve">Fremkaldelse af ægløsning efter brunstsynkronisering med en analog af gestagen (altrenogest) med henblik på at udføre en enkelt kunstig insemination. </w:t>
      </w:r>
    </w:p>
    <w:p w14:paraId="017EF937" w14:textId="77777777" w:rsidR="00E42126" w:rsidRDefault="00E42126" w:rsidP="00E42126">
      <w:pPr>
        <w:pStyle w:val="Sidehoved"/>
        <w:tabs>
          <w:tab w:val="left" w:pos="8222"/>
        </w:tabs>
        <w:ind w:left="851"/>
        <w:rPr>
          <w:b/>
          <w:bCs/>
          <w:szCs w:val="24"/>
        </w:rPr>
      </w:pPr>
    </w:p>
    <w:p w14:paraId="0C4C0F27" w14:textId="57C76056" w:rsidR="00E42126" w:rsidRPr="00333990" w:rsidRDefault="00E42126" w:rsidP="00E42126">
      <w:pPr>
        <w:pStyle w:val="Sidehoved"/>
        <w:tabs>
          <w:tab w:val="left" w:pos="8222"/>
        </w:tabs>
        <w:ind w:left="851"/>
        <w:rPr>
          <w:bCs/>
          <w:szCs w:val="24"/>
          <w:u w:val="single"/>
        </w:rPr>
      </w:pPr>
      <w:r w:rsidRPr="00333990">
        <w:rPr>
          <w:bCs/>
          <w:szCs w:val="24"/>
          <w:u w:val="single"/>
        </w:rPr>
        <w:t>Kanin</w:t>
      </w:r>
    </w:p>
    <w:p w14:paraId="5CEE0922" w14:textId="77777777" w:rsidR="00E42126" w:rsidRPr="00A67B00" w:rsidRDefault="00E42126" w:rsidP="00E42126">
      <w:pPr>
        <w:pStyle w:val="Sidehoved"/>
        <w:tabs>
          <w:tab w:val="left" w:pos="8222"/>
        </w:tabs>
        <w:ind w:left="851"/>
        <w:rPr>
          <w:szCs w:val="24"/>
        </w:rPr>
      </w:pPr>
      <w:r w:rsidRPr="00A67B00">
        <w:rPr>
          <w:szCs w:val="24"/>
        </w:rPr>
        <w:t>Forbedring af undfangelsesrate og fremkaldelse af ægløsning ved insemination postpartum.</w:t>
      </w:r>
    </w:p>
    <w:p w14:paraId="32E13F82" w14:textId="77777777" w:rsidR="00E42126" w:rsidRPr="00A67B00" w:rsidRDefault="00E42126" w:rsidP="00E42126">
      <w:pPr>
        <w:pStyle w:val="Sidehoved"/>
        <w:tabs>
          <w:tab w:val="left" w:pos="8222"/>
        </w:tabs>
        <w:ind w:left="851"/>
        <w:rPr>
          <w:szCs w:val="24"/>
        </w:rPr>
      </w:pPr>
    </w:p>
    <w:p w14:paraId="37FD4225" w14:textId="77777777"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14:paraId="5415A5B3" w14:textId="77777777" w:rsidR="006238F8" w:rsidRPr="006238F8" w:rsidRDefault="006238F8" w:rsidP="006238F8">
      <w:pPr>
        <w:pStyle w:val="Sidehoved"/>
        <w:tabs>
          <w:tab w:val="left" w:pos="8222"/>
        </w:tabs>
        <w:ind w:left="851"/>
        <w:rPr>
          <w:szCs w:val="24"/>
        </w:rPr>
      </w:pPr>
      <w:r w:rsidRPr="006238F8">
        <w:rPr>
          <w:szCs w:val="24"/>
        </w:rPr>
        <w:t>Må ikke anvendes til dyr med overfølsomhed over for det aktive stof eller over for nogen af ​​hjælpestofferne.</w:t>
      </w:r>
    </w:p>
    <w:p w14:paraId="5AE3CCFB" w14:textId="77777777" w:rsidR="005B0036" w:rsidRPr="00406EE7" w:rsidRDefault="005B0036" w:rsidP="005B0036">
      <w:pPr>
        <w:pStyle w:val="Sidehoved"/>
        <w:tabs>
          <w:tab w:val="clear" w:pos="4819"/>
          <w:tab w:val="left" w:pos="8222"/>
        </w:tabs>
        <w:ind w:left="851"/>
        <w:rPr>
          <w:szCs w:val="24"/>
        </w:rPr>
      </w:pPr>
    </w:p>
    <w:p w14:paraId="703B9950" w14:textId="77777777"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14:paraId="40F31A34" w14:textId="77777777" w:rsidR="006238F8" w:rsidRPr="006238F8" w:rsidRDefault="006238F8" w:rsidP="006238F8">
      <w:pPr>
        <w:pStyle w:val="Sidehoved"/>
        <w:tabs>
          <w:tab w:val="left" w:pos="8222"/>
        </w:tabs>
        <w:ind w:left="851"/>
        <w:rPr>
          <w:szCs w:val="24"/>
        </w:rPr>
      </w:pPr>
      <w:r w:rsidRPr="006238F8">
        <w:rPr>
          <w:szCs w:val="24"/>
        </w:rPr>
        <w:t>Behandling med en GnRH-analog er kun symptomatisk; underliggende årsager til en fertilitetsforstyrrelse elimineres ikke ved denne behandling.</w:t>
      </w:r>
    </w:p>
    <w:p w14:paraId="6EBB298C" w14:textId="77777777" w:rsidR="005B0036" w:rsidRPr="00406EE7" w:rsidRDefault="005B0036" w:rsidP="005B0036">
      <w:pPr>
        <w:pStyle w:val="Sidehoved"/>
        <w:tabs>
          <w:tab w:val="clear" w:pos="4819"/>
          <w:tab w:val="left" w:pos="8222"/>
        </w:tabs>
        <w:ind w:left="851"/>
        <w:rPr>
          <w:szCs w:val="24"/>
        </w:rPr>
      </w:pPr>
    </w:p>
    <w:p w14:paraId="1D35DB7E" w14:textId="77777777"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14:paraId="36323F86" w14:textId="77777777" w:rsidR="005B0036" w:rsidRPr="002374DA" w:rsidRDefault="005B0036" w:rsidP="005B0036">
      <w:pPr>
        <w:tabs>
          <w:tab w:val="left" w:pos="851"/>
          <w:tab w:val="left" w:pos="8222"/>
        </w:tabs>
        <w:ind w:left="851"/>
        <w:rPr>
          <w:sz w:val="24"/>
          <w:szCs w:val="24"/>
        </w:rPr>
      </w:pPr>
    </w:p>
    <w:p w14:paraId="40BBCDD9" w14:textId="77777777"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14:paraId="546EBE0A" w14:textId="77777777" w:rsidR="006238F8" w:rsidRPr="006238F8" w:rsidRDefault="006238F8" w:rsidP="006238F8">
      <w:pPr>
        <w:tabs>
          <w:tab w:val="left" w:pos="851"/>
          <w:tab w:val="left" w:pos="8222"/>
        </w:tabs>
        <w:ind w:left="851"/>
        <w:rPr>
          <w:sz w:val="24"/>
          <w:szCs w:val="24"/>
        </w:rPr>
      </w:pPr>
      <w:r w:rsidRPr="006238F8">
        <w:rPr>
          <w:sz w:val="24"/>
          <w:szCs w:val="24"/>
        </w:rPr>
        <w:t>Hos søer (kønsmodne gylte) kan anvendelse af produktet i modstrid med de anbefalede protokoller resultere i dannelse af follikulære cyster, som kan påvirke fertilitet og produktivitet negativt. Brug af aseptisk teknik anbefales.</w:t>
      </w:r>
    </w:p>
    <w:p w14:paraId="22BBFAA9" w14:textId="77777777" w:rsidR="005B0036" w:rsidRPr="00406EE7" w:rsidRDefault="005B0036" w:rsidP="005B0036">
      <w:pPr>
        <w:tabs>
          <w:tab w:val="left" w:pos="851"/>
          <w:tab w:val="left" w:pos="8222"/>
        </w:tabs>
        <w:ind w:left="851"/>
        <w:rPr>
          <w:sz w:val="24"/>
          <w:szCs w:val="24"/>
        </w:rPr>
      </w:pPr>
    </w:p>
    <w:p w14:paraId="208BE144" w14:textId="77777777"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14:paraId="175205EA" w14:textId="19F3C79E" w:rsidR="00247AB0" w:rsidRPr="00247AB0" w:rsidRDefault="00247AB0" w:rsidP="00247AB0">
      <w:pPr>
        <w:tabs>
          <w:tab w:val="left" w:pos="851"/>
          <w:tab w:val="left" w:pos="8222"/>
        </w:tabs>
        <w:ind w:left="851"/>
        <w:rPr>
          <w:sz w:val="24"/>
          <w:szCs w:val="24"/>
        </w:rPr>
      </w:pPr>
      <w:r w:rsidRPr="00247AB0">
        <w:rPr>
          <w:sz w:val="24"/>
          <w:szCs w:val="24"/>
        </w:rPr>
        <w:t xml:space="preserve">Undgå at injektionsvæske, opløsning kommer i kontakt med øjne og hud. I tilfælde af utilsigtet øjenkontakt skylles grundigt med vand. Hvis der opstår hudkontakt med produktet, skal det eksponerede område straks vaskes med sæbe og vand, da GnRH-analoger kan absorberes gennem huden. </w:t>
      </w:r>
    </w:p>
    <w:p w14:paraId="40B9AB23" w14:textId="77777777" w:rsidR="00247AB0" w:rsidRPr="00247AB0" w:rsidRDefault="00247AB0" w:rsidP="00247AB0">
      <w:pPr>
        <w:tabs>
          <w:tab w:val="left" w:pos="851"/>
          <w:tab w:val="left" w:pos="8222"/>
        </w:tabs>
        <w:ind w:left="851"/>
        <w:rPr>
          <w:sz w:val="24"/>
          <w:szCs w:val="24"/>
        </w:rPr>
      </w:pPr>
      <w:r w:rsidRPr="00247AB0">
        <w:rPr>
          <w:sz w:val="24"/>
          <w:szCs w:val="24"/>
        </w:rPr>
        <w:t xml:space="preserve">Lægemidlet bør ikke indgives af gravide kvinder, da det er blevet påvist, at buserelin er føtotoksisk hos laboratoriedyr. </w:t>
      </w:r>
    </w:p>
    <w:p w14:paraId="2DE74258" w14:textId="77777777" w:rsidR="00247AB0" w:rsidRPr="00247AB0" w:rsidRDefault="00247AB0" w:rsidP="00247AB0">
      <w:pPr>
        <w:tabs>
          <w:tab w:val="left" w:pos="851"/>
          <w:tab w:val="left" w:pos="8222"/>
        </w:tabs>
        <w:ind w:left="851"/>
        <w:rPr>
          <w:sz w:val="24"/>
          <w:szCs w:val="24"/>
        </w:rPr>
      </w:pPr>
      <w:r w:rsidRPr="00247AB0">
        <w:rPr>
          <w:sz w:val="24"/>
          <w:szCs w:val="24"/>
        </w:rPr>
        <w:t>Kvinder i den fødedygtige alder bør indgive lægemidlet med forsigtighed.</w:t>
      </w:r>
    </w:p>
    <w:p w14:paraId="1BE901A3" w14:textId="2C777908" w:rsidR="00247AB0" w:rsidRPr="00247AB0" w:rsidRDefault="00247AB0" w:rsidP="00247AB0">
      <w:pPr>
        <w:tabs>
          <w:tab w:val="left" w:pos="851"/>
          <w:tab w:val="left" w:pos="8222"/>
        </w:tabs>
        <w:ind w:left="851"/>
        <w:rPr>
          <w:sz w:val="24"/>
          <w:szCs w:val="24"/>
        </w:rPr>
      </w:pPr>
      <w:r w:rsidRPr="00247AB0">
        <w:rPr>
          <w:sz w:val="24"/>
          <w:szCs w:val="24"/>
        </w:rPr>
        <w:t xml:space="preserve">Når produktet indgives, skal der udvises forsigtighed for at undgå utilsigtet selvinjektion, </w:t>
      </w:r>
      <w:r>
        <w:rPr>
          <w:sz w:val="24"/>
          <w:szCs w:val="24"/>
        </w:rPr>
        <w:t>hvorfor</w:t>
      </w:r>
      <w:r w:rsidRPr="00247AB0">
        <w:rPr>
          <w:sz w:val="24"/>
          <w:szCs w:val="24"/>
        </w:rPr>
        <w:t xml:space="preserve"> dyret </w:t>
      </w:r>
      <w:r>
        <w:rPr>
          <w:sz w:val="24"/>
          <w:szCs w:val="24"/>
        </w:rPr>
        <w:t xml:space="preserve">skal </w:t>
      </w:r>
      <w:r w:rsidRPr="00247AB0">
        <w:rPr>
          <w:sz w:val="24"/>
          <w:szCs w:val="24"/>
        </w:rPr>
        <w:t xml:space="preserve">holdes godt fast og injektionsnålen være afskærmet, indtil injektionen finder sted. </w:t>
      </w:r>
    </w:p>
    <w:p w14:paraId="54F0919F" w14:textId="77777777" w:rsidR="00247AB0" w:rsidRPr="00247AB0" w:rsidRDefault="00247AB0" w:rsidP="00247AB0">
      <w:pPr>
        <w:tabs>
          <w:tab w:val="left" w:pos="851"/>
          <w:tab w:val="left" w:pos="8222"/>
        </w:tabs>
        <w:ind w:left="851"/>
        <w:rPr>
          <w:b/>
          <w:bCs/>
          <w:sz w:val="24"/>
          <w:szCs w:val="24"/>
        </w:rPr>
      </w:pPr>
      <w:r w:rsidRPr="00247AB0">
        <w:rPr>
          <w:sz w:val="24"/>
          <w:szCs w:val="24"/>
        </w:rPr>
        <w:t>I tilfælde af selvindgivelse ved hændeligt uheld skal der straks søges læge, og indlægssedlen eller etiketten bør vises til lægen Vask hænderne efter brug.</w:t>
      </w:r>
    </w:p>
    <w:p w14:paraId="0AEDCAB9" w14:textId="77777777" w:rsidR="005B0036" w:rsidRPr="00406EE7" w:rsidRDefault="005B0036" w:rsidP="005B0036">
      <w:pPr>
        <w:tabs>
          <w:tab w:val="left" w:pos="851"/>
          <w:tab w:val="left" w:pos="8222"/>
        </w:tabs>
        <w:ind w:left="851"/>
        <w:rPr>
          <w:sz w:val="24"/>
          <w:szCs w:val="24"/>
        </w:rPr>
      </w:pPr>
    </w:p>
    <w:p w14:paraId="329F7753" w14:textId="77777777"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14:paraId="2AB17017" w14:textId="11F25076" w:rsidR="005B0036" w:rsidRPr="00406EE7" w:rsidRDefault="00AE1D41" w:rsidP="005B0036">
      <w:pPr>
        <w:tabs>
          <w:tab w:val="left" w:pos="851"/>
          <w:tab w:val="left" w:pos="8222"/>
        </w:tabs>
        <w:ind w:left="851"/>
        <w:rPr>
          <w:sz w:val="24"/>
          <w:szCs w:val="24"/>
        </w:rPr>
      </w:pPr>
      <w:r>
        <w:rPr>
          <w:sz w:val="24"/>
          <w:szCs w:val="24"/>
        </w:rPr>
        <w:t>Ingen kendte.</w:t>
      </w:r>
    </w:p>
    <w:p w14:paraId="7425DA06" w14:textId="77777777" w:rsidR="005B0036" w:rsidRPr="00406EE7" w:rsidRDefault="005B0036" w:rsidP="005B0036">
      <w:pPr>
        <w:tabs>
          <w:tab w:val="left" w:pos="851"/>
          <w:tab w:val="left" w:pos="8222"/>
        </w:tabs>
        <w:ind w:left="851"/>
        <w:rPr>
          <w:sz w:val="24"/>
          <w:szCs w:val="24"/>
        </w:rPr>
      </w:pPr>
    </w:p>
    <w:p w14:paraId="6B2A16CE" w14:textId="77777777"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14:paraId="64600EC5" w14:textId="77777777" w:rsidR="00AE1D41" w:rsidRPr="00AE1D41" w:rsidRDefault="00AE1D41" w:rsidP="00AE1D41">
      <w:pPr>
        <w:tabs>
          <w:tab w:val="left" w:pos="851"/>
          <w:tab w:val="left" w:pos="8222"/>
        </w:tabs>
        <w:ind w:left="851"/>
        <w:rPr>
          <w:bCs/>
          <w:sz w:val="24"/>
          <w:szCs w:val="24"/>
        </w:rPr>
      </w:pPr>
      <w:r w:rsidRPr="00AE1D41">
        <w:rPr>
          <w:sz w:val="24"/>
          <w:szCs w:val="24"/>
        </w:rPr>
        <w:t>Anvendelse frarådes ved drægtighed og laktation.</w:t>
      </w:r>
    </w:p>
    <w:p w14:paraId="1D3F1BEF" w14:textId="77777777" w:rsidR="005B0036" w:rsidRPr="00406EE7" w:rsidRDefault="005B0036" w:rsidP="005B0036">
      <w:pPr>
        <w:tabs>
          <w:tab w:val="left" w:pos="851"/>
          <w:tab w:val="left" w:pos="8222"/>
        </w:tabs>
        <w:ind w:left="851"/>
        <w:rPr>
          <w:sz w:val="24"/>
          <w:szCs w:val="24"/>
        </w:rPr>
      </w:pPr>
    </w:p>
    <w:p w14:paraId="191F64E9" w14:textId="77777777" w:rsidR="005B0036" w:rsidRPr="00406EE7" w:rsidRDefault="005B0036" w:rsidP="005B0036">
      <w:pPr>
        <w:tabs>
          <w:tab w:val="left" w:pos="851"/>
          <w:tab w:val="left" w:pos="8222"/>
        </w:tabs>
        <w:rPr>
          <w:b/>
          <w:sz w:val="24"/>
          <w:szCs w:val="24"/>
        </w:rPr>
      </w:pPr>
      <w:r w:rsidRPr="00406EE7">
        <w:rPr>
          <w:b/>
          <w:sz w:val="24"/>
          <w:szCs w:val="24"/>
        </w:rPr>
        <w:lastRenderedPageBreak/>
        <w:t>4.8</w:t>
      </w:r>
      <w:r w:rsidRPr="00406EE7">
        <w:rPr>
          <w:b/>
          <w:sz w:val="24"/>
          <w:szCs w:val="24"/>
        </w:rPr>
        <w:tab/>
        <w:t>Interaktion med andre lægemidler og andre former for interaktion</w:t>
      </w:r>
    </w:p>
    <w:p w14:paraId="646F0440" w14:textId="0FCF8C81" w:rsidR="005B0036" w:rsidRPr="00406EE7" w:rsidRDefault="00AE1D41" w:rsidP="005B0036">
      <w:pPr>
        <w:tabs>
          <w:tab w:val="left" w:pos="851"/>
          <w:tab w:val="left" w:pos="8222"/>
        </w:tabs>
        <w:ind w:left="851"/>
        <w:rPr>
          <w:sz w:val="24"/>
          <w:szCs w:val="24"/>
        </w:rPr>
      </w:pPr>
      <w:r>
        <w:rPr>
          <w:sz w:val="24"/>
          <w:szCs w:val="24"/>
        </w:rPr>
        <w:t>Ingen kendte.</w:t>
      </w:r>
    </w:p>
    <w:p w14:paraId="120301A4" w14:textId="77777777" w:rsidR="005B0036" w:rsidRPr="00406EE7" w:rsidRDefault="005B0036" w:rsidP="005B0036">
      <w:pPr>
        <w:tabs>
          <w:tab w:val="left" w:pos="851"/>
          <w:tab w:val="left" w:pos="8222"/>
        </w:tabs>
        <w:ind w:left="851"/>
        <w:rPr>
          <w:sz w:val="24"/>
          <w:szCs w:val="24"/>
        </w:rPr>
      </w:pPr>
    </w:p>
    <w:p w14:paraId="1862A3C2" w14:textId="77777777"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14:paraId="6CB63B7B" w14:textId="1C8D8AF6" w:rsidR="004018B3" w:rsidRDefault="004018B3" w:rsidP="004018B3">
      <w:pPr>
        <w:tabs>
          <w:tab w:val="left" w:pos="851"/>
          <w:tab w:val="left" w:pos="8222"/>
        </w:tabs>
        <w:ind w:left="851"/>
        <w:rPr>
          <w:sz w:val="24"/>
          <w:szCs w:val="24"/>
        </w:rPr>
      </w:pPr>
      <w:r w:rsidRPr="004018B3">
        <w:rPr>
          <w:sz w:val="24"/>
          <w:szCs w:val="24"/>
        </w:rPr>
        <w:t>Hos kvæg, hest og kanin er den foretrukne indgivelsesvej intramuskulær injektion (i.m.), men det kan også injiceres intravenøst (i.v.) eller subkutant (s.c.).</w:t>
      </w:r>
    </w:p>
    <w:p w14:paraId="7D18BC81" w14:textId="77777777" w:rsidR="004018B3" w:rsidRPr="004018B3" w:rsidRDefault="004018B3" w:rsidP="004018B3">
      <w:pPr>
        <w:tabs>
          <w:tab w:val="left" w:pos="851"/>
          <w:tab w:val="left" w:pos="8222"/>
        </w:tabs>
        <w:ind w:left="851"/>
        <w:rPr>
          <w:sz w:val="24"/>
          <w:szCs w:val="24"/>
        </w:rPr>
      </w:pPr>
    </w:p>
    <w:p w14:paraId="2614D831" w14:textId="77777777" w:rsidR="004018B3" w:rsidRPr="004018B3" w:rsidRDefault="004018B3" w:rsidP="004018B3">
      <w:pPr>
        <w:tabs>
          <w:tab w:val="left" w:pos="851"/>
          <w:tab w:val="left" w:pos="8222"/>
        </w:tabs>
        <w:ind w:left="851"/>
        <w:rPr>
          <w:bCs/>
          <w:sz w:val="24"/>
          <w:szCs w:val="24"/>
        </w:rPr>
      </w:pPr>
      <w:r w:rsidRPr="004018B3">
        <w:rPr>
          <w:sz w:val="24"/>
          <w:szCs w:val="24"/>
        </w:rPr>
        <w:t>Hos svin er den foretrukne indgivelsesvej intramuskulært (i.m.), men det kan også injiceres intravenøst (i.v.).</w:t>
      </w:r>
    </w:p>
    <w:p w14:paraId="08B6A90B" w14:textId="77777777" w:rsidR="004018B3" w:rsidRPr="004018B3" w:rsidRDefault="004018B3" w:rsidP="004018B3">
      <w:pPr>
        <w:tabs>
          <w:tab w:val="left" w:pos="851"/>
          <w:tab w:val="left" w:pos="8222"/>
        </w:tabs>
        <w:ind w:left="851"/>
        <w:rPr>
          <w:sz w:val="24"/>
          <w:szCs w:val="24"/>
        </w:rPr>
      </w:pPr>
    </w:p>
    <w:tbl>
      <w:tblPr>
        <w:tblW w:w="934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3094"/>
        <w:gridCol w:w="1987"/>
        <w:gridCol w:w="1960"/>
      </w:tblGrid>
      <w:tr w:rsidR="004018B3" w:rsidRPr="00BA66D6" w14:paraId="7C54509D" w14:textId="77777777" w:rsidTr="00D76FBD">
        <w:trPr>
          <w:cantSplit/>
        </w:trPr>
        <w:tc>
          <w:tcPr>
            <w:tcW w:w="2307" w:type="dxa"/>
            <w:tcBorders>
              <w:top w:val="single" w:sz="4" w:space="0" w:color="000000"/>
              <w:left w:val="single" w:sz="4" w:space="0" w:color="000000"/>
              <w:bottom w:val="single" w:sz="4" w:space="0" w:color="000000"/>
              <w:right w:val="single" w:sz="4" w:space="0" w:color="000000"/>
            </w:tcBorders>
            <w:vAlign w:val="center"/>
            <w:hideMark/>
          </w:tcPr>
          <w:p w14:paraId="007DD0BF" w14:textId="77777777" w:rsidR="004018B3" w:rsidRPr="00BA66D6" w:rsidRDefault="004018B3" w:rsidP="004018B3">
            <w:pPr>
              <w:tabs>
                <w:tab w:val="left" w:pos="8222"/>
              </w:tabs>
              <w:ind w:left="32"/>
              <w:rPr>
                <w:b/>
                <w:sz w:val="24"/>
                <w:szCs w:val="24"/>
              </w:rPr>
            </w:pPr>
            <w:bookmarkStart w:id="1" w:name="_Hlk53578358"/>
            <w:r w:rsidRPr="00BA66D6">
              <w:rPr>
                <w:b/>
                <w:sz w:val="24"/>
                <w:szCs w:val="24"/>
              </w:rPr>
              <w:t>Arter</w:t>
            </w: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75BDDDEA" w14:textId="15426433" w:rsidR="004018B3" w:rsidRPr="00BA66D6" w:rsidRDefault="004018B3" w:rsidP="004018B3">
            <w:pPr>
              <w:tabs>
                <w:tab w:val="left" w:pos="8222"/>
              </w:tabs>
              <w:rPr>
                <w:b/>
                <w:sz w:val="24"/>
                <w:szCs w:val="24"/>
              </w:rPr>
            </w:pPr>
            <w:r w:rsidRPr="00BA66D6">
              <w:rPr>
                <w:b/>
                <w:sz w:val="24"/>
                <w:szCs w:val="24"/>
              </w:rPr>
              <w:t>Indikation</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0FF7527F" w14:textId="3BBC643D" w:rsidR="004018B3" w:rsidRPr="00BA66D6" w:rsidRDefault="00BA66D6" w:rsidP="00925D9E">
            <w:pPr>
              <w:tabs>
                <w:tab w:val="left" w:pos="8222"/>
              </w:tabs>
              <w:ind w:left="15"/>
              <w:rPr>
                <w:b/>
                <w:sz w:val="24"/>
                <w:szCs w:val="24"/>
              </w:rPr>
            </w:pPr>
            <w:r w:rsidRPr="00BA66D6">
              <w:rPr>
                <w:b/>
                <w:sz w:val="24"/>
                <w:szCs w:val="24"/>
              </w:rPr>
              <w:t>m</w:t>
            </w:r>
            <w:r w:rsidR="00C3103C" w:rsidRPr="00BA66D6">
              <w:rPr>
                <w:b/>
                <w:sz w:val="24"/>
                <w:szCs w:val="24"/>
              </w:rPr>
              <w:t xml:space="preserve">ikrogram </w:t>
            </w:r>
            <w:r w:rsidR="00925D9E" w:rsidRPr="00BA66D6">
              <w:rPr>
                <w:b/>
                <w:sz w:val="24"/>
                <w:szCs w:val="24"/>
              </w:rPr>
              <w:t>b</w:t>
            </w:r>
            <w:r w:rsidR="004018B3" w:rsidRPr="00BA66D6">
              <w:rPr>
                <w:b/>
                <w:sz w:val="24"/>
                <w:szCs w:val="24"/>
              </w:rPr>
              <w:t>userelin pr. dyr</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1E249427" w14:textId="43D6524E" w:rsidR="004018B3" w:rsidRPr="00BA66D6" w:rsidRDefault="004018B3" w:rsidP="00925D9E">
            <w:pPr>
              <w:tabs>
                <w:tab w:val="left" w:pos="8222"/>
              </w:tabs>
              <w:rPr>
                <w:b/>
                <w:sz w:val="24"/>
                <w:szCs w:val="24"/>
              </w:rPr>
            </w:pPr>
            <w:r w:rsidRPr="00BA66D6">
              <w:rPr>
                <w:b/>
                <w:sz w:val="24"/>
                <w:szCs w:val="24"/>
              </w:rPr>
              <w:t>ml Veterelin 4 </w:t>
            </w:r>
            <w:r w:rsidR="00925D9E" w:rsidRPr="00BA66D6">
              <w:rPr>
                <w:b/>
                <w:sz w:val="24"/>
                <w:szCs w:val="24"/>
              </w:rPr>
              <w:t>mikrogram</w:t>
            </w:r>
            <w:r w:rsidRPr="00BA66D6">
              <w:rPr>
                <w:b/>
                <w:sz w:val="24"/>
                <w:szCs w:val="24"/>
              </w:rPr>
              <w:t>/ml pr. dyr</w:t>
            </w:r>
          </w:p>
        </w:tc>
        <w:bookmarkEnd w:id="1"/>
      </w:tr>
      <w:tr w:rsidR="004018B3" w:rsidRPr="004018B3" w14:paraId="1990527D" w14:textId="77777777" w:rsidTr="00D76FBD">
        <w:trPr>
          <w:cantSplit/>
          <w:trHeight w:val="340"/>
        </w:trPr>
        <w:tc>
          <w:tcPr>
            <w:tcW w:w="2307" w:type="dxa"/>
            <w:vMerge w:val="restart"/>
            <w:tcBorders>
              <w:top w:val="single" w:sz="4" w:space="0" w:color="000000"/>
              <w:left w:val="single" w:sz="4" w:space="0" w:color="000000"/>
              <w:bottom w:val="single" w:sz="4" w:space="0" w:color="000000"/>
              <w:right w:val="single" w:sz="4" w:space="0" w:color="000000"/>
            </w:tcBorders>
            <w:vAlign w:val="center"/>
            <w:hideMark/>
          </w:tcPr>
          <w:p w14:paraId="49A59CEF" w14:textId="08B5F998" w:rsidR="004018B3" w:rsidRPr="004018B3" w:rsidRDefault="00D76FBD" w:rsidP="004018B3">
            <w:pPr>
              <w:tabs>
                <w:tab w:val="left" w:pos="8222"/>
              </w:tabs>
              <w:ind w:left="32"/>
              <w:rPr>
                <w:sz w:val="24"/>
                <w:szCs w:val="24"/>
              </w:rPr>
            </w:pPr>
            <w:r>
              <w:rPr>
                <w:sz w:val="24"/>
                <w:szCs w:val="24"/>
              </w:rPr>
              <w:t>Kvæg</w:t>
            </w: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71824713" w14:textId="77777777" w:rsidR="004018B3" w:rsidRPr="004018B3" w:rsidRDefault="004018B3" w:rsidP="004018B3">
            <w:pPr>
              <w:tabs>
                <w:tab w:val="left" w:pos="8222"/>
              </w:tabs>
              <w:rPr>
                <w:sz w:val="24"/>
                <w:szCs w:val="24"/>
              </w:rPr>
            </w:pPr>
            <w:r w:rsidRPr="004018B3">
              <w:rPr>
                <w:sz w:val="24"/>
                <w:szCs w:val="24"/>
              </w:rPr>
              <w:t xml:space="preserve">Behandling af anøstrus </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2DEDA455" w14:textId="77777777" w:rsidR="004018B3" w:rsidRPr="004018B3" w:rsidRDefault="004018B3" w:rsidP="00925D9E">
            <w:pPr>
              <w:tabs>
                <w:tab w:val="left" w:pos="8222"/>
              </w:tabs>
              <w:ind w:left="15"/>
              <w:rPr>
                <w:sz w:val="24"/>
                <w:szCs w:val="24"/>
              </w:rPr>
            </w:pPr>
            <w:r w:rsidRPr="004018B3">
              <w:rPr>
                <w:sz w:val="24"/>
                <w:szCs w:val="24"/>
              </w:rPr>
              <w:t>20</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10C6113F" w14:textId="77777777" w:rsidR="004018B3" w:rsidRPr="004018B3" w:rsidRDefault="004018B3" w:rsidP="00925D9E">
            <w:pPr>
              <w:tabs>
                <w:tab w:val="left" w:pos="8222"/>
              </w:tabs>
              <w:rPr>
                <w:sz w:val="24"/>
                <w:szCs w:val="24"/>
              </w:rPr>
            </w:pPr>
            <w:r w:rsidRPr="004018B3">
              <w:rPr>
                <w:sz w:val="24"/>
                <w:szCs w:val="24"/>
              </w:rPr>
              <w:t>5</w:t>
            </w:r>
          </w:p>
        </w:tc>
      </w:tr>
      <w:tr w:rsidR="004018B3" w:rsidRPr="004018B3" w14:paraId="2BEE5F92" w14:textId="77777777" w:rsidTr="00D76FBD">
        <w:trPr>
          <w:cantSplit/>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B94C84" w14:textId="77777777" w:rsidR="004018B3" w:rsidRPr="004018B3" w:rsidRDefault="004018B3" w:rsidP="004018B3">
            <w:pPr>
              <w:tabs>
                <w:tab w:val="left" w:pos="8222"/>
              </w:tabs>
              <w:ind w:left="32"/>
              <w:rPr>
                <w:sz w:val="24"/>
                <w:szCs w:val="24"/>
              </w:rPr>
            </w:pP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6FB94C40" w14:textId="77777777" w:rsidR="004018B3" w:rsidRPr="004018B3" w:rsidRDefault="004018B3" w:rsidP="004018B3">
            <w:pPr>
              <w:tabs>
                <w:tab w:val="left" w:pos="8222"/>
              </w:tabs>
              <w:rPr>
                <w:sz w:val="24"/>
                <w:szCs w:val="24"/>
              </w:rPr>
            </w:pPr>
            <w:r w:rsidRPr="004018B3">
              <w:rPr>
                <w:sz w:val="24"/>
                <w:szCs w:val="24"/>
              </w:rPr>
              <w:t>Fremkaldelse af ægløsning</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32AF2D76" w14:textId="77777777" w:rsidR="004018B3" w:rsidRPr="004018B3" w:rsidRDefault="004018B3" w:rsidP="00925D9E">
            <w:pPr>
              <w:tabs>
                <w:tab w:val="left" w:pos="8222"/>
              </w:tabs>
              <w:ind w:left="15"/>
              <w:rPr>
                <w:sz w:val="24"/>
                <w:szCs w:val="24"/>
              </w:rPr>
            </w:pPr>
            <w:r w:rsidRPr="004018B3">
              <w:rPr>
                <w:sz w:val="24"/>
                <w:szCs w:val="24"/>
              </w:rPr>
              <w:t>20</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056FC53D" w14:textId="77777777" w:rsidR="004018B3" w:rsidRPr="004018B3" w:rsidRDefault="004018B3" w:rsidP="00925D9E">
            <w:pPr>
              <w:tabs>
                <w:tab w:val="left" w:pos="8222"/>
              </w:tabs>
              <w:rPr>
                <w:sz w:val="24"/>
                <w:szCs w:val="24"/>
              </w:rPr>
            </w:pPr>
            <w:r w:rsidRPr="004018B3">
              <w:rPr>
                <w:sz w:val="24"/>
                <w:szCs w:val="24"/>
              </w:rPr>
              <w:t>5</w:t>
            </w:r>
          </w:p>
        </w:tc>
      </w:tr>
      <w:tr w:rsidR="004018B3" w:rsidRPr="004018B3" w14:paraId="6761C819" w14:textId="77777777" w:rsidTr="00D76FBD">
        <w:trPr>
          <w:cantSplit/>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D53688" w14:textId="77777777" w:rsidR="004018B3" w:rsidRPr="004018B3" w:rsidRDefault="004018B3" w:rsidP="004018B3">
            <w:pPr>
              <w:tabs>
                <w:tab w:val="left" w:pos="8222"/>
              </w:tabs>
              <w:ind w:left="32"/>
              <w:rPr>
                <w:sz w:val="24"/>
                <w:szCs w:val="24"/>
              </w:rPr>
            </w:pP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7899FF15" w14:textId="77777777" w:rsidR="004018B3" w:rsidRPr="004018B3" w:rsidRDefault="004018B3" w:rsidP="004018B3">
            <w:pPr>
              <w:tabs>
                <w:tab w:val="left" w:pos="8222"/>
              </w:tabs>
              <w:rPr>
                <w:sz w:val="24"/>
                <w:szCs w:val="24"/>
              </w:rPr>
            </w:pPr>
            <w:r w:rsidRPr="004018B3">
              <w:rPr>
                <w:sz w:val="24"/>
                <w:szCs w:val="24"/>
              </w:rPr>
              <w:t>Forsinket ægløsning</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46DBB640" w14:textId="77777777" w:rsidR="004018B3" w:rsidRPr="004018B3" w:rsidRDefault="004018B3" w:rsidP="00925D9E">
            <w:pPr>
              <w:tabs>
                <w:tab w:val="left" w:pos="8222"/>
              </w:tabs>
              <w:ind w:left="15"/>
              <w:rPr>
                <w:sz w:val="24"/>
                <w:szCs w:val="24"/>
              </w:rPr>
            </w:pPr>
            <w:r w:rsidRPr="004018B3">
              <w:rPr>
                <w:sz w:val="24"/>
                <w:szCs w:val="24"/>
              </w:rPr>
              <w:t>10</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75EB8532" w14:textId="77777777" w:rsidR="004018B3" w:rsidRPr="004018B3" w:rsidRDefault="004018B3" w:rsidP="00925D9E">
            <w:pPr>
              <w:tabs>
                <w:tab w:val="left" w:pos="8222"/>
              </w:tabs>
              <w:rPr>
                <w:sz w:val="24"/>
                <w:szCs w:val="24"/>
              </w:rPr>
            </w:pPr>
            <w:r w:rsidRPr="004018B3">
              <w:rPr>
                <w:sz w:val="24"/>
                <w:szCs w:val="24"/>
              </w:rPr>
              <w:t>2,5</w:t>
            </w:r>
          </w:p>
        </w:tc>
      </w:tr>
      <w:tr w:rsidR="004018B3" w:rsidRPr="004018B3" w14:paraId="3CE8C926" w14:textId="77777777" w:rsidTr="00D76FBD">
        <w:trPr>
          <w:cantSplit/>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64784" w14:textId="77777777" w:rsidR="004018B3" w:rsidRPr="004018B3" w:rsidRDefault="004018B3" w:rsidP="004018B3">
            <w:pPr>
              <w:tabs>
                <w:tab w:val="left" w:pos="8222"/>
              </w:tabs>
              <w:ind w:left="32"/>
              <w:rPr>
                <w:sz w:val="24"/>
                <w:szCs w:val="24"/>
              </w:rPr>
            </w:pP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7C326406" w14:textId="77777777" w:rsidR="004018B3" w:rsidRPr="004018B3" w:rsidRDefault="004018B3" w:rsidP="004018B3">
            <w:pPr>
              <w:tabs>
                <w:tab w:val="left" w:pos="8222"/>
              </w:tabs>
              <w:rPr>
                <w:sz w:val="24"/>
                <w:szCs w:val="24"/>
              </w:rPr>
            </w:pPr>
            <w:r w:rsidRPr="004018B3">
              <w:rPr>
                <w:sz w:val="24"/>
                <w:szCs w:val="24"/>
              </w:rPr>
              <w:t>Forbedring af undfangelsesraten ved kunstig insemination, også efter brunstsynkronisering af med en PGF2α-analog. Resultaterne kan dog variere afhængigt af avlsforholdene.</w:t>
            </w:r>
          </w:p>
          <w:p w14:paraId="3434288D" w14:textId="2CBB5F6C" w:rsidR="004018B3" w:rsidRPr="004018B3" w:rsidRDefault="004018B3" w:rsidP="004018B3">
            <w:pPr>
              <w:tabs>
                <w:tab w:val="left" w:pos="8222"/>
              </w:tabs>
              <w:rPr>
                <w:sz w:val="24"/>
                <w:szCs w:val="24"/>
              </w:rPr>
            </w:pPr>
            <w:r w:rsidRPr="004018B3">
              <w:rPr>
                <w:sz w:val="24"/>
                <w:szCs w:val="24"/>
              </w:rPr>
              <w:t>Ved brunstsynkronisering hos køer i overensstemmelse med 10 dages fast inseminationsregime skal buserelin gives på dag 0 efterfulgt af PGF2-alfa-behandling på dag 7 og endnu en buserelinbehand</w:t>
            </w:r>
            <w:r w:rsidR="00DB4AD9">
              <w:rPr>
                <w:sz w:val="24"/>
                <w:szCs w:val="24"/>
              </w:rPr>
              <w:softHyphen/>
            </w:r>
            <w:r w:rsidRPr="004018B3">
              <w:rPr>
                <w:sz w:val="24"/>
                <w:szCs w:val="24"/>
              </w:rPr>
              <w:t>ling på dag 9 i henhold til den nævnte dosering.</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50047221" w14:textId="77777777" w:rsidR="004018B3" w:rsidRPr="004018B3" w:rsidRDefault="004018B3" w:rsidP="00925D9E">
            <w:pPr>
              <w:tabs>
                <w:tab w:val="left" w:pos="8222"/>
              </w:tabs>
              <w:ind w:left="15"/>
              <w:rPr>
                <w:sz w:val="24"/>
                <w:szCs w:val="24"/>
              </w:rPr>
            </w:pPr>
            <w:r w:rsidRPr="004018B3">
              <w:rPr>
                <w:sz w:val="24"/>
                <w:szCs w:val="24"/>
              </w:rPr>
              <w:t>10</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559B2BB6" w14:textId="77777777" w:rsidR="004018B3" w:rsidRPr="004018B3" w:rsidRDefault="004018B3" w:rsidP="00925D9E">
            <w:pPr>
              <w:tabs>
                <w:tab w:val="left" w:pos="8222"/>
              </w:tabs>
              <w:rPr>
                <w:sz w:val="24"/>
                <w:szCs w:val="24"/>
              </w:rPr>
            </w:pPr>
            <w:r w:rsidRPr="004018B3">
              <w:rPr>
                <w:sz w:val="24"/>
                <w:szCs w:val="24"/>
              </w:rPr>
              <w:t>2,5</w:t>
            </w:r>
          </w:p>
        </w:tc>
      </w:tr>
      <w:tr w:rsidR="004018B3" w:rsidRPr="004018B3" w14:paraId="22EA352D" w14:textId="77777777" w:rsidTr="00D76FBD">
        <w:trPr>
          <w:cantSplit/>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797D16" w14:textId="77777777" w:rsidR="004018B3" w:rsidRPr="004018B3" w:rsidRDefault="004018B3" w:rsidP="004018B3">
            <w:pPr>
              <w:tabs>
                <w:tab w:val="left" w:pos="8222"/>
              </w:tabs>
              <w:ind w:left="32"/>
              <w:rPr>
                <w:sz w:val="24"/>
                <w:szCs w:val="24"/>
              </w:rPr>
            </w:pP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54C09D5E" w14:textId="77777777" w:rsidR="004018B3" w:rsidRPr="004018B3" w:rsidRDefault="004018B3" w:rsidP="004018B3">
            <w:pPr>
              <w:tabs>
                <w:tab w:val="left" w:pos="8222"/>
              </w:tabs>
              <w:rPr>
                <w:sz w:val="24"/>
                <w:szCs w:val="24"/>
              </w:rPr>
            </w:pPr>
            <w:r w:rsidRPr="004018B3">
              <w:rPr>
                <w:sz w:val="24"/>
                <w:szCs w:val="24"/>
              </w:rPr>
              <w:t>Follikulære cyster med eller uden symptomer på nymfomani</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7C61F9F5" w14:textId="77777777" w:rsidR="004018B3" w:rsidRPr="004018B3" w:rsidRDefault="004018B3" w:rsidP="00925D9E">
            <w:pPr>
              <w:tabs>
                <w:tab w:val="left" w:pos="8222"/>
              </w:tabs>
              <w:ind w:left="15"/>
              <w:rPr>
                <w:sz w:val="24"/>
                <w:szCs w:val="24"/>
              </w:rPr>
            </w:pPr>
            <w:r w:rsidRPr="004018B3">
              <w:rPr>
                <w:sz w:val="24"/>
                <w:szCs w:val="24"/>
              </w:rPr>
              <w:t>20</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55BF31E6" w14:textId="77777777" w:rsidR="004018B3" w:rsidRPr="004018B3" w:rsidRDefault="004018B3" w:rsidP="00925D9E">
            <w:pPr>
              <w:tabs>
                <w:tab w:val="left" w:pos="8222"/>
              </w:tabs>
              <w:rPr>
                <w:sz w:val="24"/>
                <w:szCs w:val="24"/>
              </w:rPr>
            </w:pPr>
            <w:r w:rsidRPr="004018B3">
              <w:rPr>
                <w:sz w:val="24"/>
                <w:szCs w:val="24"/>
              </w:rPr>
              <w:t>5</w:t>
            </w:r>
          </w:p>
        </w:tc>
      </w:tr>
      <w:tr w:rsidR="004018B3" w:rsidRPr="004018B3" w14:paraId="6581B811" w14:textId="77777777" w:rsidTr="00D76FBD">
        <w:trPr>
          <w:cantSplit/>
          <w:trHeight w:val="340"/>
        </w:trPr>
        <w:tc>
          <w:tcPr>
            <w:tcW w:w="2307" w:type="dxa"/>
            <w:vMerge w:val="restart"/>
            <w:tcBorders>
              <w:top w:val="single" w:sz="4" w:space="0" w:color="000000"/>
              <w:left w:val="single" w:sz="4" w:space="0" w:color="000000"/>
              <w:bottom w:val="single" w:sz="4" w:space="0" w:color="000000"/>
              <w:right w:val="single" w:sz="4" w:space="0" w:color="000000"/>
            </w:tcBorders>
            <w:vAlign w:val="center"/>
            <w:hideMark/>
          </w:tcPr>
          <w:p w14:paraId="0E06B30D" w14:textId="1944F6E8" w:rsidR="004018B3" w:rsidRPr="004018B3" w:rsidRDefault="00D76FBD" w:rsidP="004018B3">
            <w:pPr>
              <w:tabs>
                <w:tab w:val="left" w:pos="8222"/>
              </w:tabs>
              <w:ind w:left="32"/>
              <w:rPr>
                <w:sz w:val="24"/>
                <w:szCs w:val="24"/>
              </w:rPr>
            </w:pPr>
            <w:r>
              <w:rPr>
                <w:sz w:val="24"/>
                <w:szCs w:val="24"/>
              </w:rPr>
              <w:t>Hest</w:t>
            </w: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320FB9F0" w14:textId="77777777" w:rsidR="004018B3" w:rsidRPr="004018B3" w:rsidRDefault="004018B3" w:rsidP="004018B3">
            <w:pPr>
              <w:tabs>
                <w:tab w:val="left" w:pos="8222"/>
              </w:tabs>
              <w:rPr>
                <w:sz w:val="24"/>
                <w:szCs w:val="24"/>
              </w:rPr>
            </w:pPr>
            <w:r w:rsidRPr="004018B3">
              <w:rPr>
                <w:sz w:val="24"/>
                <w:szCs w:val="24"/>
              </w:rPr>
              <w:t>Behandling af follikulære cyster med eller uden symptomer på nymfomani</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205CF937" w14:textId="77777777" w:rsidR="004018B3" w:rsidRPr="004018B3" w:rsidRDefault="004018B3" w:rsidP="00925D9E">
            <w:pPr>
              <w:tabs>
                <w:tab w:val="left" w:pos="8222"/>
              </w:tabs>
              <w:ind w:left="15"/>
              <w:rPr>
                <w:sz w:val="24"/>
                <w:szCs w:val="24"/>
              </w:rPr>
            </w:pPr>
            <w:r w:rsidRPr="004018B3">
              <w:rPr>
                <w:sz w:val="24"/>
                <w:szCs w:val="24"/>
              </w:rPr>
              <w:t>40</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29D18255" w14:textId="77777777" w:rsidR="004018B3" w:rsidRPr="004018B3" w:rsidRDefault="004018B3" w:rsidP="00925D9E">
            <w:pPr>
              <w:tabs>
                <w:tab w:val="left" w:pos="8222"/>
              </w:tabs>
              <w:rPr>
                <w:sz w:val="24"/>
                <w:szCs w:val="24"/>
              </w:rPr>
            </w:pPr>
            <w:r w:rsidRPr="004018B3">
              <w:rPr>
                <w:sz w:val="24"/>
                <w:szCs w:val="24"/>
              </w:rPr>
              <w:t>10</w:t>
            </w:r>
          </w:p>
        </w:tc>
      </w:tr>
      <w:tr w:rsidR="004018B3" w:rsidRPr="004018B3" w14:paraId="35783300" w14:textId="77777777" w:rsidTr="00D76FBD">
        <w:trPr>
          <w:cantSplit/>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7F3F10" w14:textId="77777777" w:rsidR="004018B3" w:rsidRPr="004018B3" w:rsidRDefault="004018B3" w:rsidP="004018B3">
            <w:pPr>
              <w:tabs>
                <w:tab w:val="left" w:pos="8222"/>
              </w:tabs>
              <w:ind w:left="32"/>
              <w:rPr>
                <w:sz w:val="24"/>
                <w:szCs w:val="24"/>
              </w:rPr>
            </w:pP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78A32F50" w14:textId="77777777" w:rsidR="004018B3" w:rsidRPr="004018B3" w:rsidRDefault="004018B3" w:rsidP="004018B3">
            <w:pPr>
              <w:tabs>
                <w:tab w:val="left" w:pos="8222"/>
              </w:tabs>
              <w:rPr>
                <w:sz w:val="24"/>
                <w:szCs w:val="24"/>
              </w:rPr>
            </w:pPr>
            <w:r w:rsidRPr="004018B3">
              <w:rPr>
                <w:sz w:val="24"/>
                <w:szCs w:val="24"/>
              </w:rPr>
              <w:t>Fremkaldelse af ægløsning for dermed at synkronisere ægløsning til at ligge tættere på parringstidspunktet hos hopper.</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275AFC7C" w14:textId="77777777" w:rsidR="004018B3" w:rsidRPr="004018B3" w:rsidRDefault="004018B3" w:rsidP="00925D9E">
            <w:pPr>
              <w:tabs>
                <w:tab w:val="left" w:pos="8222"/>
              </w:tabs>
              <w:ind w:left="15"/>
              <w:rPr>
                <w:sz w:val="24"/>
                <w:szCs w:val="24"/>
              </w:rPr>
            </w:pPr>
            <w:r w:rsidRPr="004018B3">
              <w:rPr>
                <w:sz w:val="24"/>
                <w:szCs w:val="24"/>
              </w:rPr>
              <w:t>40</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6894F497" w14:textId="77777777" w:rsidR="004018B3" w:rsidRPr="004018B3" w:rsidRDefault="004018B3" w:rsidP="00925D9E">
            <w:pPr>
              <w:tabs>
                <w:tab w:val="left" w:pos="8222"/>
              </w:tabs>
              <w:rPr>
                <w:sz w:val="24"/>
                <w:szCs w:val="24"/>
              </w:rPr>
            </w:pPr>
            <w:r w:rsidRPr="004018B3">
              <w:rPr>
                <w:sz w:val="24"/>
                <w:szCs w:val="24"/>
              </w:rPr>
              <w:t>10</w:t>
            </w:r>
          </w:p>
        </w:tc>
      </w:tr>
      <w:tr w:rsidR="004018B3" w:rsidRPr="004018B3" w14:paraId="4757EB70" w14:textId="77777777" w:rsidTr="00D76FBD">
        <w:trPr>
          <w:trHeight w:val="340"/>
        </w:trPr>
        <w:tc>
          <w:tcPr>
            <w:tcW w:w="2307" w:type="dxa"/>
            <w:tcBorders>
              <w:top w:val="single" w:sz="4" w:space="0" w:color="000000"/>
              <w:left w:val="single" w:sz="4" w:space="0" w:color="000000"/>
              <w:bottom w:val="single" w:sz="4" w:space="0" w:color="000000"/>
              <w:right w:val="single" w:sz="4" w:space="0" w:color="000000"/>
            </w:tcBorders>
            <w:vAlign w:val="center"/>
            <w:hideMark/>
          </w:tcPr>
          <w:p w14:paraId="5F496149" w14:textId="39AE5403" w:rsidR="004018B3" w:rsidRPr="004018B3" w:rsidRDefault="004018B3" w:rsidP="004018B3">
            <w:pPr>
              <w:tabs>
                <w:tab w:val="left" w:pos="8222"/>
              </w:tabs>
              <w:ind w:left="32"/>
              <w:rPr>
                <w:sz w:val="24"/>
                <w:szCs w:val="24"/>
              </w:rPr>
            </w:pPr>
            <w:r w:rsidRPr="004018B3">
              <w:rPr>
                <w:sz w:val="24"/>
                <w:szCs w:val="24"/>
              </w:rPr>
              <w:t>S</w:t>
            </w:r>
            <w:r w:rsidR="00D76FBD">
              <w:rPr>
                <w:sz w:val="24"/>
                <w:szCs w:val="24"/>
              </w:rPr>
              <w:t>vin</w:t>
            </w: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1D262901" w14:textId="1AE0F0C1" w:rsidR="004018B3" w:rsidRPr="004018B3" w:rsidRDefault="004018B3" w:rsidP="004018B3">
            <w:pPr>
              <w:tabs>
                <w:tab w:val="left" w:pos="8222"/>
              </w:tabs>
              <w:rPr>
                <w:sz w:val="24"/>
                <w:szCs w:val="24"/>
              </w:rPr>
            </w:pPr>
            <w:r w:rsidRPr="004018B3">
              <w:rPr>
                <w:sz w:val="24"/>
                <w:szCs w:val="24"/>
              </w:rPr>
              <w:t xml:space="preserve">Fremkaldelse af ægløsning efter brunstsynkronisering med en analog af gestagen (altrenogest) med henblik på at udføre en enkelt kunstig insemination. Indgift skal ske </w:t>
            </w:r>
            <w:r w:rsidRPr="004018B3">
              <w:rPr>
                <w:sz w:val="24"/>
                <w:szCs w:val="24"/>
              </w:rPr>
              <w:lastRenderedPageBreak/>
              <w:t xml:space="preserve">115-120 timer efter afslutningen af synkronisering med et gestagen. En enkelt kunstig insemination foretages 30-33 timer efter indgift af </w:t>
            </w:r>
            <w:r w:rsidR="00AC5DC0">
              <w:rPr>
                <w:sz w:val="24"/>
                <w:szCs w:val="24"/>
              </w:rPr>
              <w:t>Veterelin</w:t>
            </w:r>
            <w:r w:rsidRPr="004018B3">
              <w:rPr>
                <w:sz w:val="24"/>
                <w:szCs w:val="24"/>
              </w:rPr>
              <w:t>.</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5BFFCC06" w14:textId="77777777" w:rsidR="004018B3" w:rsidRPr="004018B3" w:rsidRDefault="004018B3" w:rsidP="00925D9E">
            <w:pPr>
              <w:tabs>
                <w:tab w:val="left" w:pos="8222"/>
              </w:tabs>
              <w:ind w:left="15"/>
              <w:rPr>
                <w:sz w:val="24"/>
                <w:szCs w:val="24"/>
              </w:rPr>
            </w:pPr>
            <w:r w:rsidRPr="004018B3">
              <w:rPr>
                <w:sz w:val="24"/>
                <w:szCs w:val="24"/>
              </w:rPr>
              <w:lastRenderedPageBreak/>
              <w:t>10</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7F42F903" w14:textId="77777777" w:rsidR="004018B3" w:rsidRPr="004018B3" w:rsidRDefault="004018B3" w:rsidP="00925D9E">
            <w:pPr>
              <w:tabs>
                <w:tab w:val="left" w:pos="8222"/>
              </w:tabs>
              <w:rPr>
                <w:sz w:val="24"/>
                <w:szCs w:val="24"/>
              </w:rPr>
            </w:pPr>
            <w:r w:rsidRPr="004018B3">
              <w:rPr>
                <w:sz w:val="24"/>
                <w:szCs w:val="24"/>
              </w:rPr>
              <w:t>2,5</w:t>
            </w:r>
          </w:p>
        </w:tc>
      </w:tr>
      <w:tr w:rsidR="004018B3" w:rsidRPr="004018B3" w14:paraId="4DB6E7E1" w14:textId="77777777" w:rsidTr="00D76FBD">
        <w:trPr>
          <w:cantSplit/>
          <w:trHeight w:val="340"/>
        </w:trPr>
        <w:tc>
          <w:tcPr>
            <w:tcW w:w="2307" w:type="dxa"/>
            <w:vMerge w:val="restart"/>
            <w:tcBorders>
              <w:top w:val="single" w:sz="4" w:space="0" w:color="000000"/>
              <w:left w:val="single" w:sz="4" w:space="0" w:color="000000"/>
              <w:bottom w:val="single" w:sz="4" w:space="0" w:color="000000"/>
              <w:right w:val="single" w:sz="4" w:space="0" w:color="000000"/>
            </w:tcBorders>
            <w:vAlign w:val="center"/>
            <w:hideMark/>
          </w:tcPr>
          <w:p w14:paraId="12F01190" w14:textId="30CC181E" w:rsidR="004018B3" w:rsidRPr="004018B3" w:rsidRDefault="00D76FBD" w:rsidP="004018B3">
            <w:pPr>
              <w:tabs>
                <w:tab w:val="left" w:pos="8222"/>
              </w:tabs>
              <w:ind w:left="32"/>
              <w:rPr>
                <w:sz w:val="24"/>
                <w:szCs w:val="24"/>
              </w:rPr>
            </w:pPr>
            <w:r>
              <w:rPr>
                <w:sz w:val="24"/>
                <w:szCs w:val="24"/>
              </w:rPr>
              <w:t>Kanin</w:t>
            </w: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1EDE8E0B" w14:textId="77777777" w:rsidR="004018B3" w:rsidRPr="004018B3" w:rsidRDefault="004018B3" w:rsidP="004018B3">
            <w:pPr>
              <w:tabs>
                <w:tab w:val="left" w:pos="8222"/>
              </w:tabs>
              <w:rPr>
                <w:sz w:val="24"/>
                <w:szCs w:val="24"/>
              </w:rPr>
            </w:pPr>
            <w:r w:rsidRPr="004018B3">
              <w:rPr>
                <w:sz w:val="24"/>
                <w:szCs w:val="24"/>
              </w:rPr>
              <w:t>Forbedring af undfangelsesraten</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5AFBEF78" w14:textId="77777777" w:rsidR="004018B3" w:rsidRPr="004018B3" w:rsidRDefault="004018B3" w:rsidP="00925D9E">
            <w:pPr>
              <w:tabs>
                <w:tab w:val="left" w:pos="8222"/>
              </w:tabs>
              <w:ind w:left="15"/>
              <w:rPr>
                <w:sz w:val="24"/>
                <w:szCs w:val="24"/>
              </w:rPr>
            </w:pPr>
            <w:r w:rsidRPr="004018B3">
              <w:rPr>
                <w:sz w:val="24"/>
                <w:szCs w:val="24"/>
              </w:rPr>
              <w:t>0,8</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0E1EC6A2" w14:textId="77777777" w:rsidR="004018B3" w:rsidRPr="004018B3" w:rsidRDefault="004018B3" w:rsidP="00925D9E">
            <w:pPr>
              <w:tabs>
                <w:tab w:val="left" w:pos="8222"/>
              </w:tabs>
              <w:rPr>
                <w:sz w:val="24"/>
                <w:szCs w:val="24"/>
              </w:rPr>
            </w:pPr>
            <w:r w:rsidRPr="004018B3">
              <w:rPr>
                <w:sz w:val="24"/>
                <w:szCs w:val="24"/>
              </w:rPr>
              <w:t>0,2</w:t>
            </w:r>
          </w:p>
        </w:tc>
      </w:tr>
      <w:tr w:rsidR="004018B3" w:rsidRPr="004018B3" w14:paraId="1B47933A" w14:textId="77777777" w:rsidTr="00D76FBD">
        <w:trPr>
          <w:cantSplit/>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EA70F6" w14:textId="77777777" w:rsidR="004018B3" w:rsidRPr="004018B3" w:rsidRDefault="004018B3" w:rsidP="004018B3">
            <w:pPr>
              <w:tabs>
                <w:tab w:val="left" w:pos="8222"/>
              </w:tabs>
              <w:ind w:left="32"/>
              <w:rPr>
                <w:sz w:val="24"/>
                <w:szCs w:val="24"/>
              </w:rPr>
            </w:pPr>
          </w:p>
        </w:tc>
        <w:tc>
          <w:tcPr>
            <w:tcW w:w="3094" w:type="dxa"/>
            <w:tcBorders>
              <w:top w:val="single" w:sz="4" w:space="0" w:color="000000"/>
              <w:left w:val="single" w:sz="4" w:space="0" w:color="000000"/>
              <w:bottom w:val="single" w:sz="4" w:space="0" w:color="000000"/>
              <w:right w:val="single" w:sz="4" w:space="0" w:color="000000"/>
            </w:tcBorders>
            <w:vAlign w:val="center"/>
            <w:hideMark/>
          </w:tcPr>
          <w:p w14:paraId="48FC7F7C" w14:textId="77777777" w:rsidR="004018B3" w:rsidRPr="004018B3" w:rsidRDefault="004018B3" w:rsidP="004018B3">
            <w:pPr>
              <w:tabs>
                <w:tab w:val="left" w:pos="8222"/>
              </w:tabs>
              <w:rPr>
                <w:sz w:val="24"/>
                <w:szCs w:val="24"/>
              </w:rPr>
            </w:pPr>
            <w:r w:rsidRPr="004018B3">
              <w:rPr>
                <w:sz w:val="24"/>
                <w:szCs w:val="24"/>
              </w:rPr>
              <w:t>Fremkaldelse af ægløsning ved insemination postpartum</w:t>
            </w:r>
          </w:p>
        </w:tc>
        <w:tc>
          <w:tcPr>
            <w:tcW w:w="1987" w:type="dxa"/>
            <w:tcBorders>
              <w:top w:val="single" w:sz="4" w:space="0" w:color="000000"/>
              <w:left w:val="single" w:sz="4" w:space="0" w:color="000000"/>
              <w:bottom w:val="single" w:sz="4" w:space="0" w:color="000000"/>
              <w:right w:val="single" w:sz="4" w:space="0" w:color="000000"/>
            </w:tcBorders>
            <w:vAlign w:val="center"/>
            <w:hideMark/>
          </w:tcPr>
          <w:p w14:paraId="19B3841A" w14:textId="77777777" w:rsidR="004018B3" w:rsidRPr="004018B3" w:rsidRDefault="004018B3" w:rsidP="00925D9E">
            <w:pPr>
              <w:tabs>
                <w:tab w:val="left" w:pos="8222"/>
              </w:tabs>
              <w:ind w:left="15"/>
              <w:rPr>
                <w:sz w:val="24"/>
                <w:szCs w:val="24"/>
              </w:rPr>
            </w:pPr>
            <w:r w:rsidRPr="004018B3">
              <w:rPr>
                <w:sz w:val="24"/>
                <w:szCs w:val="24"/>
              </w:rPr>
              <w:t>0,8</w:t>
            </w:r>
          </w:p>
        </w:tc>
        <w:tc>
          <w:tcPr>
            <w:tcW w:w="1960" w:type="dxa"/>
            <w:tcBorders>
              <w:top w:val="single" w:sz="4" w:space="0" w:color="000000"/>
              <w:left w:val="single" w:sz="4" w:space="0" w:color="000000"/>
              <w:bottom w:val="single" w:sz="4" w:space="0" w:color="000000"/>
              <w:right w:val="single" w:sz="4" w:space="0" w:color="000000"/>
            </w:tcBorders>
            <w:vAlign w:val="center"/>
            <w:hideMark/>
          </w:tcPr>
          <w:p w14:paraId="16DF9AEF" w14:textId="77777777" w:rsidR="004018B3" w:rsidRPr="004018B3" w:rsidRDefault="004018B3" w:rsidP="00925D9E">
            <w:pPr>
              <w:tabs>
                <w:tab w:val="left" w:pos="8222"/>
              </w:tabs>
              <w:rPr>
                <w:sz w:val="24"/>
                <w:szCs w:val="24"/>
              </w:rPr>
            </w:pPr>
            <w:r w:rsidRPr="004018B3">
              <w:rPr>
                <w:sz w:val="24"/>
                <w:szCs w:val="24"/>
              </w:rPr>
              <w:t>0,2</w:t>
            </w:r>
          </w:p>
        </w:tc>
      </w:tr>
    </w:tbl>
    <w:p w14:paraId="23E7C7BA" w14:textId="77777777" w:rsidR="004018B3" w:rsidRPr="004018B3" w:rsidRDefault="004018B3" w:rsidP="004018B3">
      <w:pPr>
        <w:tabs>
          <w:tab w:val="left" w:pos="851"/>
          <w:tab w:val="left" w:pos="8222"/>
        </w:tabs>
        <w:ind w:left="851"/>
        <w:rPr>
          <w:b/>
          <w:bCs/>
          <w:sz w:val="24"/>
          <w:szCs w:val="24"/>
        </w:rPr>
      </w:pPr>
    </w:p>
    <w:p w14:paraId="0DE5F221" w14:textId="77777777" w:rsidR="004018B3" w:rsidRPr="004018B3" w:rsidRDefault="004018B3" w:rsidP="004018B3">
      <w:pPr>
        <w:tabs>
          <w:tab w:val="left" w:pos="851"/>
          <w:tab w:val="left" w:pos="8222"/>
        </w:tabs>
        <w:ind w:left="851"/>
        <w:rPr>
          <w:bCs/>
          <w:sz w:val="24"/>
          <w:szCs w:val="24"/>
        </w:rPr>
      </w:pPr>
      <w:r w:rsidRPr="004018B3">
        <w:rPr>
          <w:sz w:val="24"/>
          <w:szCs w:val="24"/>
        </w:rPr>
        <w:t>Produktet skal ingives én gang.</w:t>
      </w:r>
    </w:p>
    <w:p w14:paraId="4986A15F" w14:textId="77777777" w:rsidR="004018B3" w:rsidRPr="004018B3" w:rsidRDefault="004018B3" w:rsidP="004018B3">
      <w:pPr>
        <w:tabs>
          <w:tab w:val="left" w:pos="851"/>
          <w:tab w:val="left" w:pos="8222"/>
        </w:tabs>
        <w:ind w:left="851"/>
        <w:rPr>
          <w:bCs/>
          <w:sz w:val="24"/>
          <w:szCs w:val="24"/>
        </w:rPr>
      </w:pPr>
      <w:r w:rsidRPr="004018B3">
        <w:rPr>
          <w:sz w:val="24"/>
          <w:szCs w:val="24"/>
        </w:rPr>
        <w:t>Hætteglasset kan kun åbnes maksimalt 20 gange.</w:t>
      </w:r>
    </w:p>
    <w:p w14:paraId="41BE0A4E" w14:textId="77777777" w:rsidR="005B0036" w:rsidRPr="00406EE7" w:rsidRDefault="005B0036" w:rsidP="005B0036">
      <w:pPr>
        <w:tabs>
          <w:tab w:val="left" w:pos="851"/>
          <w:tab w:val="left" w:pos="8222"/>
        </w:tabs>
        <w:ind w:left="851"/>
        <w:rPr>
          <w:sz w:val="24"/>
          <w:szCs w:val="24"/>
        </w:rPr>
      </w:pPr>
    </w:p>
    <w:p w14:paraId="329E1F10" w14:textId="77777777"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14:paraId="510750A3" w14:textId="6D103820" w:rsidR="00DB4AD9" w:rsidRPr="00DB4AD9" w:rsidRDefault="00DB4AD9" w:rsidP="00DB4AD9">
      <w:pPr>
        <w:tabs>
          <w:tab w:val="left" w:pos="851"/>
          <w:tab w:val="left" w:pos="8222"/>
        </w:tabs>
        <w:ind w:left="851"/>
        <w:rPr>
          <w:bCs/>
          <w:sz w:val="24"/>
          <w:szCs w:val="24"/>
        </w:rPr>
      </w:pPr>
      <w:r w:rsidRPr="00DB4AD9">
        <w:rPr>
          <w:sz w:val="24"/>
          <w:szCs w:val="24"/>
        </w:rPr>
        <w:t>I tilfælde af gentagen indgift af en dosis svarende til 3,5 ml af produktet kan der observeres nedsat fødeindtagelse hos søer (kønsmodne ungsøer) efter den anden injektion. Denne virkning er forbigående</w:t>
      </w:r>
      <w:r>
        <w:rPr>
          <w:sz w:val="24"/>
          <w:szCs w:val="24"/>
        </w:rPr>
        <w:t>,</w:t>
      </w:r>
      <w:r w:rsidRPr="00DB4AD9">
        <w:rPr>
          <w:sz w:val="24"/>
          <w:szCs w:val="24"/>
        </w:rPr>
        <w:t xml:space="preserve"> og ingen særlig behandling er nødvendig.</w:t>
      </w:r>
    </w:p>
    <w:p w14:paraId="4F131257" w14:textId="77777777" w:rsidR="005B0036" w:rsidRPr="00406EE7" w:rsidRDefault="005B0036" w:rsidP="005B0036">
      <w:pPr>
        <w:tabs>
          <w:tab w:val="left" w:pos="851"/>
          <w:tab w:val="left" w:pos="8222"/>
        </w:tabs>
        <w:ind w:left="851"/>
        <w:rPr>
          <w:sz w:val="24"/>
          <w:szCs w:val="24"/>
        </w:rPr>
      </w:pPr>
    </w:p>
    <w:p w14:paraId="29B36D25" w14:textId="77777777"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14:paraId="6EDB7822" w14:textId="67E0875B" w:rsidR="007F20FD" w:rsidRPr="007F20FD" w:rsidRDefault="007F20FD" w:rsidP="007F20FD">
      <w:pPr>
        <w:pStyle w:val="Sidehoved"/>
        <w:tabs>
          <w:tab w:val="left" w:pos="8222"/>
        </w:tabs>
        <w:ind w:left="851"/>
        <w:rPr>
          <w:szCs w:val="24"/>
        </w:rPr>
      </w:pPr>
      <w:r w:rsidRPr="007F20FD">
        <w:rPr>
          <w:szCs w:val="24"/>
        </w:rPr>
        <w:t xml:space="preserve">Slagtning: </w:t>
      </w:r>
      <w:r>
        <w:rPr>
          <w:szCs w:val="24"/>
        </w:rPr>
        <w:t>0</w:t>
      </w:r>
      <w:r w:rsidRPr="007F20FD">
        <w:rPr>
          <w:szCs w:val="24"/>
        </w:rPr>
        <w:t xml:space="preserve"> dage</w:t>
      </w:r>
      <w:r>
        <w:rPr>
          <w:szCs w:val="24"/>
        </w:rPr>
        <w:t>.</w:t>
      </w:r>
    </w:p>
    <w:p w14:paraId="749C9AAC" w14:textId="0919EDD8" w:rsidR="007F20FD" w:rsidRPr="007F20FD" w:rsidRDefault="007F20FD" w:rsidP="007F20FD">
      <w:pPr>
        <w:pStyle w:val="Sidehoved"/>
        <w:tabs>
          <w:tab w:val="left" w:pos="8222"/>
        </w:tabs>
        <w:ind w:left="851"/>
        <w:rPr>
          <w:szCs w:val="24"/>
        </w:rPr>
      </w:pPr>
      <w:r w:rsidRPr="007F20FD">
        <w:rPr>
          <w:szCs w:val="24"/>
        </w:rPr>
        <w:t xml:space="preserve">Mælk: </w:t>
      </w:r>
      <w:r>
        <w:rPr>
          <w:szCs w:val="24"/>
        </w:rPr>
        <w:t>0</w:t>
      </w:r>
      <w:r w:rsidRPr="007F20FD">
        <w:rPr>
          <w:szCs w:val="24"/>
        </w:rPr>
        <w:t xml:space="preserve"> timer</w:t>
      </w:r>
      <w:r>
        <w:rPr>
          <w:szCs w:val="24"/>
        </w:rPr>
        <w:t>.</w:t>
      </w:r>
    </w:p>
    <w:p w14:paraId="3476FDD2" w14:textId="77777777" w:rsidR="005B0036" w:rsidRPr="00406EE7" w:rsidRDefault="005B0036" w:rsidP="005B0036">
      <w:pPr>
        <w:pStyle w:val="Sidehoved"/>
        <w:tabs>
          <w:tab w:val="clear" w:pos="4819"/>
          <w:tab w:val="left" w:pos="8222"/>
        </w:tabs>
        <w:ind w:left="851"/>
        <w:rPr>
          <w:szCs w:val="24"/>
        </w:rPr>
      </w:pPr>
    </w:p>
    <w:p w14:paraId="53F42E04" w14:textId="77777777" w:rsidR="005B0036" w:rsidRPr="00406EE7" w:rsidRDefault="005B0036" w:rsidP="005B0036">
      <w:pPr>
        <w:tabs>
          <w:tab w:val="left" w:pos="851"/>
          <w:tab w:val="left" w:pos="8222"/>
        </w:tabs>
        <w:ind w:left="851"/>
        <w:rPr>
          <w:sz w:val="24"/>
          <w:szCs w:val="24"/>
        </w:rPr>
      </w:pPr>
    </w:p>
    <w:p w14:paraId="5996294A" w14:textId="0AED4C41" w:rsidR="005B0036" w:rsidRPr="009762EC" w:rsidRDefault="005B0036" w:rsidP="005B0036">
      <w:pPr>
        <w:tabs>
          <w:tab w:val="left" w:pos="8222"/>
        </w:tabs>
        <w:ind w:left="851" w:hanging="851"/>
        <w:rPr>
          <w:b/>
          <w:sz w:val="24"/>
          <w:szCs w:val="24"/>
        </w:rPr>
      </w:pPr>
      <w:r w:rsidRPr="009762EC">
        <w:rPr>
          <w:b/>
          <w:sz w:val="24"/>
          <w:szCs w:val="24"/>
        </w:rPr>
        <w:t>5.</w:t>
      </w:r>
      <w:r w:rsidRPr="009762EC">
        <w:rPr>
          <w:b/>
          <w:sz w:val="24"/>
          <w:szCs w:val="24"/>
        </w:rPr>
        <w:tab/>
        <w:t>FARMAKOLOGISKE EGENSKABER</w:t>
      </w:r>
    </w:p>
    <w:p w14:paraId="70BAF3EA" w14:textId="77777777" w:rsidR="005B0036" w:rsidRPr="009762EC" w:rsidRDefault="005B0036" w:rsidP="005B0036">
      <w:pPr>
        <w:tabs>
          <w:tab w:val="left" w:pos="8222"/>
        </w:tabs>
        <w:ind w:left="851"/>
        <w:rPr>
          <w:sz w:val="24"/>
          <w:szCs w:val="24"/>
        </w:rPr>
      </w:pPr>
    </w:p>
    <w:p w14:paraId="312AB475" w14:textId="1FE907DA" w:rsidR="00896913" w:rsidRPr="009762EC" w:rsidRDefault="00896913" w:rsidP="00896913">
      <w:pPr>
        <w:tabs>
          <w:tab w:val="left" w:pos="8222"/>
        </w:tabs>
        <w:ind w:left="851"/>
        <w:rPr>
          <w:bCs/>
          <w:sz w:val="24"/>
          <w:szCs w:val="24"/>
        </w:rPr>
      </w:pPr>
      <w:r w:rsidRPr="009762EC">
        <w:rPr>
          <w:sz w:val="24"/>
          <w:szCs w:val="24"/>
        </w:rPr>
        <w:t>ATCvet-kode: QH</w:t>
      </w:r>
      <w:r w:rsidR="00BA66D6" w:rsidRPr="009762EC">
        <w:rPr>
          <w:sz w:val="24"/>
          <w:szCs w:val="24"/>
        </w:rPr>
        <w:t xml:space="preserve"> </w:t>
      </w:r>
      <w:r w:rsidRPr="009762EC">
        <w:rPr>
          <w:sz w:val="24"/>
          <w:szCs w:val="24"/>
        </w:rPr>
        <w:t>01</w:t>
      </w:r>
      <w:r w:rsidR="00BA66D6" w:rsidRPr="009762EC">
        <w:rPr>
          <w:sz w:val="24"/>
          <w:szCs w:val="24"/>
        </w:rPr>
        <w:t xml:space="preserve"> </w:t>
      </w:r>
      <w:r w:rsidRPr="009762EC">
        <w:rPr>
          <w:sz w:val="24"/>
          <w:szCs w:val="24"/>
        </w:rPr>
        <w:t>CA</w:t>
      </w:r>
      <w:r w:rsidR="00BA66D6" w:rsidRPr="009762EC">
        <w:rPr>
          <w:sz w:val="24"/>
          <w:szCs w:val="24"/>
        </w:rPr>
        <w:t xml:space="preserve"> </w:t>
      </w:r>
      <w:r w:rsidRPr="009762EC">
        <w:rPr>
          <w:sz w:val="24"/>
          <w:szCs w:val="24"/>
        </w:rPr>
        <w:t>90</w:t>
      </w:r>
      <w:r w:rsidR="00BA66D6" w:rsidRPr="009762EC">
        <w:rPr>
          <w:sz w:val="24"/>
          <w:szCs w:val="24"/>
        </w:rPr>
        <w:t>.</w:t>
      </w:r>
    </w:p>
    <w:p w14:paraId="4E59AE11" w14:textId="49DEF7E8" w:rsidR="00896913" w:rsidRPr="009762EC" w:rsidRDefault="00896913" w:rsidP="00896913">
      <w:pPr>
        <w:tabs>
          <w:tab w:val="left" w:pos="8222"/>
        </w:tabs>
        <w:ind w:left="851"/>
        <w:rPr>
          <w:bCs/>
          <w:sz w:val="24"/>
          <w:szCs w:val="24"/>
        </w:rPr>
      </w:pPr>
      <w:r w:rsidRPr="009762EC">
        <w:rPr>
          <w:sz w:val="24"/>
          <w:szCs w:val="24"/>
        </w:rPr>
        <w:t>Farmakoterapeutisk gruppe: Gonadotropin-frigivende hormoner</w:t>
      </w:r>
      <w:r w:rsidR="00BA66D6" w:rsidRPr="009762EC">
        <w:rPr>
          <w:sz w:val="24"/>
          <w:szCs w:val="24"/>
        </w:rPr>
        <w:t>.</w:t>
      </w:r>
    </w:p>
    <w:p w14:paraId="732FA223" w14:textId="77777777" w:rsidR="005B0036" w:rsidRPr="009762EC" w:rsidRDefault="005B0036" w:rsidP="005B0036">
      <w:pPr>
        <w:tabs>
          <w:tab w:val="left" w:pos="8222"/>
        </w:tabs>
        <w:ind w:left="851"/>
        <w:rPr>
          <w:sz w:val="24"/>
          <w:szCs w:val="24"/>
        </w:rPr>
      </w:pPr>
    </w:p>
    <w:p w14:paraId="056C11CE" w14:textId="47546000" w:rsidR="005B0036" w:rsidRPr="009762EC" w:rsidRDefault="005B0036" w:rsidP="005B0036">
      <w:pPr>
        <w:tabs>
          <w:tab w:val="left" w:pos="851"/>
          <w:tab w:val="left" w:pos="8222"/>
        </w:tabs>
        <w:rPr>
          <w:b/>
          <w:sz w:val="24"/>
          <w:szCs w:val="24"/>
        </w:rPr>
      </w:pPr>
      <w:r w:rsidRPr="009762EC">
        <w:rPr>
          <w:b/>
          <w:sz w:val="24"/>
          <w:szCs w:val="24"/>
        </w:rPr>
        <w:t>5.1</w:t>
      </w:r>
      <w:r w:rsidRPr="009762EC">
        <w:rPr>
          <w:b/>
          <w:sz w:val="24"/>
          <w:szCs w:val="24"/>
        </w:rPr>
        <w:tab/>
        <w:t>Farmakodynamiske egenskaber</w:t>
      </w:r>
    </w:p>
    <w:p w14:paraId="2E6405A5" w14:textId="77777777" w:rsidR="009762EC" w:rsidRPr="009762EC" w:rsidRDefault="009762EC" w:rsidP="009762EC">
      <w:pPr>
        <w:tabs>
          <w:tab w:val="left" w:pos="851"/>
          <w:tab w:val="left" w:pos="8222"/>
        </w:tabs>
        <w:ind w:left="851"/>
        <w:rPr>
          <w:sz w:val="24"/>
          <w:szCs w:val="24"/>
        </w:rPr>
      </w:pPr>
      <w:r w:rsidRPr="009762EC">
        <w:rPr>
          <w:sz w:val="24"/>
          <w:szCs w:val="24"/>
        </w:rPr>
        <w:t>Buserelin er et peptidhormon, som er kemisk analogt med det frigivende hormon (RH) fra det luteiniserende hormon (LH) og follikelstimulerende hormon (FSH), og dermed en analog til det gonadotropinfrigivende hormon (GnRH).</w:t>
      </w:r>
    </w:p>
    <w:p w14:paraId="4E394E87" w14:textId="77777777" w:rsidR="009762EC" w:rsidRPr="009762EC" w:rsidRDefault="009762EC" w:rsidP="009762EC">
      <w:pPr>
        <w:tabs>
          <w:tab w:val="left" w:pos="851"/>
          <w:tab w:val="left" w:pos="8222"/>
        </w:tabs>
        <w:ind w:left="851"/>
        <w:rPr>
          <w:sz w:val="24"/>
          <w:szCs w:val="24"/>
        </w:rPr>
      </w:pPr>
      <w:r w:rsidRPr="009762EC">
        <w:rPr>
          <w:sz w:val="24"/>
          <w:szCs w:val="24"/>
        </w:rPr>
        <w:t>Veterinærlægemidlets virkningsmekanisme svarer til den fysiologiske endokrinologiske virkning fra det naturligt forekommende gonadotropinfrigivende hormon</w:t>
      </w:r>
    </w:p>
    <w:p w14:paraId="078664BE" w14:textId="77777777" w:rsidR="009762EC" w:rsidRPr="009762EC" w:rsidRDefault="009762EC" w:rsidP="009762EC">
      <w:pPr>
        <w:tabs>
          <w:tab w:val="left" w:pos="851"/>
          <w:tab w:val="left" w:pos="8222"/>
        </w:tabs>
        <w:ind w:left="851"/>
        <w:rPr>
          <w:sz w:val="24"/>
          <w:szCs w:val="24"/>
        </w:rPr>
      </w:pPr>
      <w:r w:rsidRPr="009762EC">
        <w:rPr>
          <w:sz w:val="24"/>
          <w:szCs w:val="24"/>
        </w:rPr>
        <w:t>GnRH forlader hypothalamus via de hypofysale portalkar og går ind i hypofysens forreste lap. Her fremkalder det sekretionen af de to gonadotropiner FSH og LH ind i den perifere blodbane. Disse kan fungere ved fysiologisk at forårsage modning af æggestokkefollikler, ægløsning og luteinisering i æggestokken.</w:t>
      </w:r>
    </w:p>
    <w:p w14:paraId="284D50C6" w14:textId="77777777" w:rsidR="005B0036" w:rsidRPr="009762EC" w:rsidRDefault="005B0036" w:rsidP="005B0036">
      <w:pPr>
        <w:tabs>
          <w:tab w:val="left" w:pos="851"/>
          <w:tab w:val="left" w:pos="8222"/>
        </w:tabs>
        <w:ind w:left="851"/>
        <w:rPr>
          <w:sz w:val="24"/>
          <w:szCs w:val="24"/>
        </w:rPr>
      </w:pPr>
    </w:p>
    <w:p w14:paraId="39208CEE" w14:textId="77777777" w:rsidR="005B0036" w:rsidRPr="009762EC" w:rsidRDefault="005B0036" w:rsidP="005B0036">
      <w:pPr>
        <w:tabs>
          <w:tab w:val="left" w:pos="851"/>
          <w:tab w:val="left" w:pos="8222"/>
        </w:tabs>
        <w:rPr>
          <w:b/>
          <w:sz w:val="24"/>
          <w:szCs w:val="24"/>
        </w:rPr>
      </w:pPr>
      <w:r w:rsidRPr="009762EC">
        <w:rPr>
          <w:b/>
          <w:sz w:val="24"/>
          <w:szCs w:val="24"/>
        </w:rPr>
        <w:t>5.2</w:t>
      </w:r>
      <w:r w:rsidRPr="009762EC">
        <w:rPr>
          <w:b/>
          <w:sz w:val="24"/>
          <w:szCs w:val="24"/>
        </w:rPr>
        <w:tab/>
        <w:t>Farmakokinetiske egenskaber</w:t>
      </w:r>
    </w:p>
    <w:p w14:paraId="282B850D" w14:textId="77777777" w:rsidR="009762EC" w:rsidRPr="009762EC" w:rsidRDefault="009762EC" w:rsidP="009762EC">
      <w:pPr>
        <w:tabs>
          <w:tab w:val="left" w:pos="851"/>
          <w:tab w:val="left" w:pos="8222"/>
        </w:tabs>
        <w:ind w:left="851"/>
        <w:rPr>
          <w:sz w:val="24"/>
          <w:szCs w:val="24"/>
        </w:rPr>
      </w:pPr>
      <w:r w:rsidRPr="009762EC">
        <w:rPr>
          <w:sz w:val="24"/>
          <w:szCs w:val="24"/>
        </w:rPr>
        <w:t>Efter intravenøs indgift nedbrydes buserelin hurtigt: dets halveringstid er 3 til 4,5 minutter hos rotter og 12 minutter hos marsvin. Buserelin akkumuleres i hypofysen, leveren og nyrerne, hvor stoffet nedbrydes af enzymer til små peptidfragmenter med ubetydelig biologisk aktivitet. Den vigtigste udskillelsesvej er via urinen.</w:t>
      </w:r>
    </w:p>
    <w:p w14:paraId="0182C675" w14:textId="77777777" w:rsidR="005B0036" w:rsidRPr="00406EE7" w:rsidRDefault="005B0036" w:rsidP="005B0036">
      <w:pPr>
        <w:tabs>
          <w:tab w:val="left" w:pos="851"/>
          <w:tab w:val="left" w:pos="8222"/>
        </w:tabs>
        <w:ind w:left="851"/>
        <w:rPr>
          <w:sz w:val="24"/>
          <w:szCs w:val="24"/>
        </w:rPr>
      </w:pPr>
    </w:p>
    <w:p w14:paraId="4B33625E" w14:textId="0DCB2A35" w:rsidR="00AF4AC1" w:rsidRDefault="00AF4AC1">
      <w:pPr>
        <w:rPr>
          <w:sz w:val="24"/>
          <w:szCs w:val="24"/>
        </w:rPr>
      </w:pPr>
      <w:r>
        <w:rPr>
          <w:sz w:val="24"/>
          <w:szCs w:val="24"/>
        </w:rPr>
        <w:br w:type="page"/>
      </w:r>
    </w:p>
    <w:p w14:paraId="461EEB9A" w14:textId="77777777" w:rsidR="005B0036" w:rsidRPr="00406EE7" w:rsidRDefault="005B0036" w:rsidP="005B0036">
      <w:pPr>
        <w:tabs>
          <w:tab w:val="left" w:pos="851"/>
          <w:tab w:val="left" w:pos="8222"/>
        </w:tabs>
        <w:ind w:left="851"/>
        <w:rPr>
          <w:sz w:val="24"/>
          <w:szCs w:val="24"/>
        </w:rPr>
      </w:pPr>
    </w:p>
    <w:p w14:paraId="0D519AED" w14:textId="77777777"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14:paraId="0EB1235C" w14:textId="77777777" w:rsidR="005B0036" w:rsidRPr="00406EE7" w:rsidRDefault="005B0036" w:rsidP="005B0036">
      <w:pPr>
        <w:tabs>
          <w:tab w:val="left" w:pos="851"/>
          <w:tab w:val="left" w:pos="8222"/>
        </w:tabs>
        <w:ind w:left="851"/>
        <w:rPr>
          <w:sz w:val="24"/>
          <w:szCs w:val="24"/>
        </w:rPr>
      </w:pPr>
    </w:p>
    <w:p w14:paraId="3CA628CF" w14:textId="77777777"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14:paraId="2E431537" w14:textId="4D25DFD2" w:rsidR="008A3A1A" w:rsidRPr="008A3A1A" w:rsidRDefault="008A3A1A" w:rsidP="008A3A1A">
      <w:pPr>
        <w:tabs>
          <w:tab w:val="left" w:pos="851"/>
          <w:tab w:val="left" w:pos="8222"/>
        </w:tabs>
        <w:ind w:left="851"/>
        <w:rPr>
          <w:bCs/>
          <w:sz w:val="24"/>
          <w:szCs w:val="24"/>
        </w:rPr>
      </w:pPr>
      <w:r w:rsidRPr="008A3A1A">
        <w:rPr>
          <w:sz w:val="24"/>
          <w:szCs w:val="24"/>
        </w:rPr>
        <w:t>Benzylalkohol (E1519)</w:t>
      </w:r>
    </w:p>
    <w:p w14:paraId="5E91AC4E" w14:textId="77777777" w:rsidR="008A3A1A" w:rsidRPr="008A3A1A" w:rsidRDefault="008A3A1A" w:rsidP="008A3A1A">
      <w:pPr>
        <w:tabs>
          <w:tab w:val="left" w:pos="851"/>
          <w:tab w:val="left" w:pos="8222"/>
        </w:tabs>
        <w:ind w:left="851"/>
        <w:rPr>
          <w:bCs/>
          <w:sz w:val="24"/>
          <w:szCs w:val="24"/>
        </w:rPr>
      </w:pPr>
      <w:r w:rsidRPr="008A3A1A">
        <w:rPr>
          <w:sz w:val="24"/>
          <w:szCs w:val="24"/>
        </w:rPr>
        <w:t>Natriumchlorid</w:t>
      </w:r>
    </w:p>
    <w:p w14:paraId="158C1790" w14:textId="77777777" w:rsidR="008A3A1A" w:rsidRPr="008A3A1A" w:rsidRDefault="008A3A1A" w:rsidP="008A3A1A">
      <w:pPr>
        <w:tabs>
          <w:tab w:val="left" w:pos="851"/>
          <w:tab w:val="left" w:pos="8222"/>
        </w:tabs>
        <w:ind w:left="851"/>
        <w:rPr>
          <w:bCs/>
          <w:sz w:val="24"/>
          <w:szCs w:val="24"/>
        </w:rPr>
      </w:pPr>
      <w:r w:rsidRPr="008A3A1A">
        <w:rPr>
          <w:sz w:val="24"/>
          <w:szCs w:val="24"/>
        </w:rPr>
        <w:t>Natriumdihydrogenfosfatmonohydrat</w:t>
      </w:r>
    </w:p>
    <w:p w14:paraId="3A70A004" w14:textId="77777777" w:rsidR="008A3A1A" w:rsidRPr="008A3A1A" w:rsidRDefault="008A3A1A" w:rsidP="008A3A1A">
      <w:pPr>
        <w:tabs>
          <w:tab w:val="left" w:pos="851"/>
          <w:tab w:val="left" w:pos="8222"/>
        </w:tabs>
        <w:ind w:left="851"/>
        <w:rPr>
          <w:bCs/>
          <w:sz w:val="24"/>
          <w:szCs w:val="24"/>
        </w:rPr>
      </w:pPr>
      <w:r w:rsidRPr="008A3A1A">
        <w:rPr>
          <w:sz w:val="24"/>
          <w:szCs w:val="24"/>
        </w:rPr>
        <w:t>Natriumhydroxid</w:t>
      </w:r>
    </w:p>
    <w:p w14:paraId="0DB795D8" w14:textId="77777777" w:rsidR="008A3A1A" w:rsidRPr="008A3A1A" w:rsidRDefault="008A3A1A" w:rsidP="008A3A1A">
      <w:pPr>
        <w:tabs>
          <w:tab w:val="left" w:pos="851"/>
          <w:tab w:val="left" w:pos="8222"/>
        </w:tabs>
        <w:ind w:left="851"/>
        <w:rPr>
          <w:bCs/>
          <w:sz w:val="24"/>
          <w:szCs w:val="24"/>
        </w:rPr>
      </w:pPr>
      <w:r w:rsidRPr="008A3A1A">
        <w:rPr>
          <w:sz w:val="24"/>
          <w:szCs w:val="24"/>
        </w:rPr>
        <w:t>Vand til injektioner</w:t>
      </w:r>
    </w:p>
    <w:p w14:paraId="1E88E2A5" w14:textId="77777777" w:rsidR="005B0036" w:rsidRPr="00406EE7" w:rsidRDefault="005B0036" w:rsidP="005B0036">
      <w:pPr>
        <w:tabs>
          <w:tab w:val="left" w:pos="851"/>
          <w:tab w:val="left" w:pos="8222"/>
        </w:tabs>
        <w:ind w:left="851"/>
        <w:rPr>
          <w:sz w:val="24"/>
          <w:szCs w:val="24"/>
        </w:rPr>
      </w:pPr>
    </w:p>
    <w:p w14:paraId="046B9116" w14:textId="77777777"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14:paraId="06355066" w14:textId="77777777" w:rsidR="008A3A1A" w:rsidRPr="008A3A1A" w:rsidRDefault="008A3A1A" w:rsidP="008A3A1A">
      <w:pPr>
        <w:tabs>
          <w:tab w:val="left" w:pos="851"/>
          <w:tab w:val="left" w:pos="8222"/>
        </w:tabs>
        <w:ind w:left="851"/>
        <w:rPr>
          <w:bCs/>
          <w:sz w:val="24"/>
          <w:szCs w:val="24"/>
        </w:rPr>
      </w:pPr>
      <w:r w:rsidRPr="008A3A1A">
        <w:rPr>
          <w:sz w:val="24"/>
          <w:szCs w:val="24"/>
        </w:rPr>
        <w:t>Da der ikke foreligger undersøgelser vedrørende eventuelle uforligeligheder, må dette lægemiddel ikke blandes med andre lægemidler.</w:t>
      </w:r>
    </w:p>
    <w:p w14:paraId="628C3AC8" w14:textId="77777777" w:rsidR="005B0036" w:rsidRPr="00406EE7" w:rsidRDefault="005B0036" w:rsidP="005B0036">
      <w:pPr>
        <w:tabs>
          <w:tab w:val="left" w:pos="851"/>
          <w:tab w:val="left" w:pos="8222"/>
        </w:tabs>
        <w:ind w:left="851"/>
        <w:rPr>
          <w:sz w:val="24"/>
          <w:szCs w:val="24"/>
        </w:rPr>
      </w:pPr>
    </w:p>
    <w:p w14:paraId="38B7E2D9" w14:textId="77777777"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14:paraId="16A72344" w14:textId="2C8D5E69" w:rsidR="008A3A1A" w:rsidRDefault="00CA7109" w:rsidP="008A3A1A">
      <w:pPr>
        <w:tabs>
          <w:tab w:val="left" w:pos="851"/>
          <w:tab w:val="left" w:pos="8222"/>
        </w:tabs>
        <w:ind w:left="851"/>
        <w:rPr>
          <w:sz w:val="24"/>
          <w:szCs w:val="24"/>
        </w:rPr>
      </w:pPr>
      <w:r>
        <w:rPr>
          <w:sz w:val="24"/>
          <w:szCs w:val="24"/>
        </w:rPr>
        <w:t>I</w:t>
      </w:r>
      <w:r w:rsidR="008A3A1A" w:rsidRPr="008A3A1A">
        <w:rPr>
          <w:sz w:val="24"/>
          <w:szCs w:val="24"/>
        </w:rPr>
        <w:t xml:space="preserve"> salgspakning: 2 år</w:t>
      </w:r>
      <w:r>
        <w:rPr>
          <w:sz w:val="24"/>
          <w:szCs w:val="24"/>
        </w:rPr>
        <w:t>.</w:t>
      </w:r>
    </w:p>
    <w:p w14:paraId="466B9F5C" w14:textId="77777777" w:rsidR="00CA7109" w:rsidRPr="008A3A1A" w:rsidRDefault="00CA7109" w:rsidP="008A3A1A">
      <w:pPr>
        <w:tabs>
          <w:tab w:val="left" w:pos="851"/>
          <w:tab w:val="left" w:pos="8222"/>
        </w:tabs>
        <w:ind w:left="851"/>
        <w:rPr>
          <w:sz w:val="24"/>
          <w:szCs w:val="24"/>
        </w:rPr>
      </w:pPr>
    </w:p>
    <w:p w14:paraId="2500A2C0" w14:textId="65D6370A" w:rsidR="008A3A1A" w:rsidRPr="008A3A1A" w:rsidRDefault="00CA7109" w:rsidP="008A3A1A">
      <w:pPr>
        <w:tabs>
          <w:tab w:val="left" w:pos="851"/>
          <w:tab w:val="left" w:pos="8222"/>
        </w:tabs>
        <w:ind w:left="851"/>
        <w:rPr>
          <w:bCs/>
          <w:sz w:val="24"/>
          <w:szCs w:val="24"/>
        </w:rPr>
      </w:pPr>
      <w:r>
        <w:rPr>
          <w:sz w:val="24"/>
          <w:szCs w:val="24"/>
        </w:rPr>
        <w:t>E</w:t>
      </w:r>
      <w:r w:rsidR="008A3A1A" w:rsidRPr="008A3A1A">
        <w:rPr>
          <w:sz w:val="24"/>
          <w:szCs w:val="24"/>
        </w:rPr>
        <w:t>fter første åbning af den indre emballage: 8 timer</w:t>
      </w:r>
      <w:r>
        <w:rPr>
          <w:sz w:val="24"/>
          <w:szCs w:val="24"/>
        </w:rPr>
        <w:t>.</w:t>
      </w:r>
    </w:p>
    <w:p w14:paraId="1D9C9DFF" w14:textId="77777777" w:rsidR="005B0036" w:rsidRPr="00406EE7" w:rsidRDefault="005B0036" w:rsidP="005B0036">
      <w:pPr>
        <w:tabs>
          <w:tab w:val="left" w:pos="851"/>
          <w:tab w:val="left" w:pos="8222"/>
        </w:tabs>
        <w:ind w:left="851"/>
        <w:rPr>
          <w:sz w:val="24"/>
          <w:szCs w:val="24"/>
        </w:rPr>
      </w:pPr>
    </w:p>
    <w:p w14:paraId="1C6605A0" w14:textId="77777777"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14:paraId="41FA7DB2" w14:textId="4782C92C" w:rsidR="0065332F" w:rsidRDefault="0065332F" w:rsidP="0065332F">
      <w:pPr>
        <w:tabs>
          <w:tab w:val="left" w:pos="851"/>
          <w:tab w:val="left" w:pos="8222"/>
        </w:tabs>
        <w:ind w:left="851"/>
        <w:rPr>
          <w:sz w:val="24"/>
          <w:szCs w:val="24"/>
        </w:rPr>
      </w:pPr>
      <w:r w:rsidRPr="0065332F">
        <w:rPr>
          <w:sz w:val="24"/>
          <w:szCs w:val="24"/>
        </w:rPr>
        <w:t>Må ikke opbevares over 25</w:t>
      </w:r>
      <w:r>
        <w:rPr>
          <w:sz w:val="24"/>
          <w:szCs w:val="24"/>
        </w:rPr>
        <w:t xml:space="preserve"> ℃</w:t>
      </w:r>
      <w:r w:rsidRPr="0065332F">
        <w:rPr>
          <w:sz w:val="24"/>
          <w:szCs w:val="24"/>
        </w:rPr>
        <w:t>.</w:t>
      </w:r>
    </w:p>
    <w:p w14:paraId="7F6C89DA" w14:textId="77777777" w:rsidR="00E105B5" w:rsidRPr="0065332F" w:rsidRDefault="00E105B5" w:rsidP="0065332F">
      <w:pPr>
        <w:tabs>
          <w:tab w:val="left" w:pos="851"/>
          <w:tab w:val="left" w:pos="8222"/>
        </w:tabs>
        <w:ind w:left="851"/>
        <w:rPr>
          <w:sz w:val="24"/>
          <w:szCs w:val="24"/>
        </w:rPr>
      </w:pPr>
    </w:p>
    <w:p w14:paraId="41B4F054" w14:textId="77777777" w:rsidR="0065332F" w:rsidRPr="0065332F" w:rsidRDefault="0065332F" w:rsidP="0065332F">
      <w:pPr>
        <w:tabs>
          <w:tab w:val="left" w:pos="851"/>
          <w:tab w:val="left" w:pos="8222"/>
        </w:tabs>
        <w:ind w:left="851"/>
        <w:rPr>
          <w:sz w:val="24"/>
          <w:szCs w:val="24"/>
        </w:rPr>
      </w:pPr>
      <w:r w:rsidRPr="0065332F">
        <w:rPr>
          <w:sz w:val="24"/>
          <w:szCs w:val="24"/>
        </w:rPr>
        <w:t>Opbevares i den ydre karton for at beskytte mod lys.</w:t>
      </w:r>
    </w:p>
    <w:p w14:paraId="41A93EC9" w14:textId="77777777" w:rsidR="005B0036" w:rsidRPr="00406EE7" w:rsidRDefault="005B0036" w:rsidP="005B0036">
      <w:pPr>
        <w:tabs>
          <w:tab w:val="left" w:pos="851"/>
          <w:tab w:val="left" w:pos="8222"/>
        </w:tabs>
        <w:ind w:left="851"/>
        <w:rPr>
          <w:sz w:val="24"/>
          <w:szCs w:val="24"/>
        </w:rPr>
      </w:pPr>
    </w:p>
    <w:p w14:paraId="14DA8378" w14:textId="77777777"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14:paraId="20994B9B" w14:textId="06C00973" w:rsidR="00E105B5" w:rsidRPr="00E105B5" w:rsidRDefault="00E105B5" w:rsidP="00E105B5">
      <w:pPr>
        <w:tabs>
          <w:tab w:val="left" w:pos="851"/>
          <w:tab w:val="left" w:pos="8222"/>
        </w:tabs>
        <w:ind w:left="851"/>
        <w:rPr>
          <w:sz w:val="24"/>
          <w:szCs w:val="24"/>
        </w:rPr>
      </w:pPr>
      <w:r w:rsidRPr="00E105B5">
        <w:rPr>
          <w:sz w:val="24"/>
          <w:szCs w:val="24"/>
        </w:rPr>
        <w:t>Farveløs</w:t>
      </w:r>
      <w:r w:rsidR="00AF6388">
        <w:rPr>
          <w:sz w:val="24"/>
          <w:szCs w:val="24"/>
        </w:rPr>
        <w:t>t</w:t>
      </w:r>
      <w:r w:rsidRPr="00E105B5">
        <w:rPr>
          <w:sz w:val="24"/>
          <w:szCs w:val="24"/>
        </w:rPr>
        <w:t xml:space="preserve"> hætteglas med 10 eller 20 ml, med bromobutylgummilukning og aluminiumskapsler med blå flip-off-åbningsring i polypropylen</w:t>
      </w:r>
      <w:r w:rsidR="00AF6388">
        <w:rPr>
          <w:sz w:val="24"/>
          <w:szCs w:val="24"/>
        </w:rPr>
        <w:t>, i æske.</w:t>
      </w:r>
    </w:p>
    <w:p w14:paraId="33F6479C" w14:textId="77777777" w:rsidR="00E105B5" w:rsidRPr="00E105B5" w:rsidRDefault="00E105B5" w:rsidP="00E105B5">
      <w:pPr>
        <w:tabs>
          <w:tab w:val="left" w:pos="851"/>
          <w:tab w:val="left" w:pos="8222"/>
        </w:tabs>
        <w:ind w:left="851"/>
        <w:rPr>
          <w:sz w:val="24"/>
          <w:szCs w:val="24"/>
        </w:rPr>
      </w:pPr>
    </w:p>
    <w:p w14:paraId="0A25FE65" w14:textId="3F9276F7" w:rsidR="00E105B5" w:rsidRPr="003C7988" w:rsidRDefault="00AF6388" w:rsidP="00E105B5">
      <w:pPr>
        <w:tabs>
          <w:tab w:val="left" w:pos="851"/>
          <w:tab w:val="left" w:pos="8222"/>
        </w:tabs>
        <w:ind w:left="851"/>
        <w:rPr>
          <w:sz w:val="24"/>
          <w:szCs w:val="24"/>
          <w:u w:val="single"/>
        </w:rPr>
      </w:pPr>
      <w:r w:rsidRPr="003C7988">
        <w:rPr>
          <w:sz w:val="24"/>
          <w:szCs w:val="24"/>
          <w:u w:val="single"/>
        </w:rPr>
        <w:t>Pakningsstørrelser</w:t>
      </w:r>
    </w:p>
    <w:p w14:paraId="32E0EC0C" w14:textId="250414F2" w:rsidR="00E105B5" w:rsidRPr="00E105B5" w:rsidRDefault="00E105B5" w:rsidP="00E105B5">
      <w:pPr>
        <w:tabs>
          <w:tab w:val="left" w:pos="851"/>
          <w:tab w:val="left" w:pos="8222"/>
        </w:tabs>
        <w:ind w:left="851"/>
        <w:rPr>
          <w:sz w:val="24"/>
          <w:szCs w:val="24"/>
        </w:rPr>
      </w:pPr>
      <w:r w:rsidRPr="00E105B5">
        <w:rPr>
          <w:sz w:val="24"/>
          <w:szCs w:val="24"/>
        </w:rPr>
        <w:t>1</w:t>
      </w:r>
      <w:r w:rsidR="003C7988">
        <w:rPr>
          <w:sz w:val="24"/>
          <w:szCs w:val="24"/>
        </w:rPr>
        <w:t>×</w:t>
      </w:r>
      <w:r w:rsidRPr="00E105B5">
        <w:rPr>
          <w:sz w:val="24"/>
          <w:szCs w:val="24"/>
        </w:rPr>
        <w:t>10 ml</w:t>
      </w:r>
      <w:r w:rsidR="001139C6">
        <w:rPr>
          <w:sz w:val="24"/>
          <w:szCs w:val="24"/>
        </w:rPr>
        <w:t xml:space="preserve">, </w:t>
      </w:r>
      <w:r w:rsidRPr="00E105B5">
        <w:rPr>
          <w:sz w:val="24"/>
          <w:szCs w:val="24"/>
        </w:rPr>
        <w:t>1</w:t>
      </w:r>
      <w:r w:rsidR="003C7988">
        <w:rPr>
          <w:sz w:val="24"/>
          <w:szCs w:val="24"/>
        </w:rPr>
        <w:t>×</w:t>
      </w:r>
      <w:r w:rsidRPr="00E105B5">
        <w:rPr>
          <w:sz w:val="24"/>
          <w:szCs w:val="24"/>
        </w:rPr>
        <w:t xml:space="preserve">20 ml </w:t>
      </w:r>
      <w:r w:rsidR="001139C6">
        <w:rPr>
          <w:sz w:val="24"/>
          <w:szCs w:val="24"/>
        </w:rPr>
        <w:t xml:space="preserve">og </w:t>
      </w:r>
      <w:r w:rsidRPr="00E105B5">
        <w:rPr>
          <w:sz w:val="24"/>
          <w:szCs w:val="24"/>
        </w:rPr>
        <w:t>5</w:t>
      </w:r>
      <w:r w:rsidR="003C7988">
        <w:rPr>
          <w:sz w:val="24"/>
          <w:szCs w:val="24"/>
        </w:rPr>
        <w:t>×</w:t>
      </w:r>
      <w:r w:rsidRPr="00E105B5">
        <w:rPr>
          <w:sz w:val="24"/>
          <w:szCs w:val="24"/>
        </w:rPr>
        <w:t>10 ml</w:t>
      </w:r>
      <w:r w:rsidR="001139C6">
        <w:rPr>
          <w:sz w:val="24"/>
          <w:szCs w:val="24"/>
        </w:rPr>
        <w:t>.</w:t>
      </w:r>
    </w:p>
    <w:p w14:paraId="4480A3B5" w14:textId="77777777" w:rsidR="001139C6" w:rsidRDefault="001139C6" w:rsidP="00E105B5">
      <w:pPr>
        <w:tabs>
          <w:tab w:val="left" w:pos="851"/>
          <w:tab w:val="left" w:pos="8222"/>
        </w:tabs>
        <w:ind w:left="851"/>
        <w:rPr>
          <w:sz w:val="24"/>
          <w:szCs w:val="24"/>
        </w:rPr>
      </w:pPr>
    </w:p>
    <w:p w14:paraId="2F3F42F4" w14:textId="28A45C96" w:rsidR="00E105B5" w:rsidRPr="00E105B5" w:rsidRDefault="00E105B5" w:rsidP="00E105B5">
      <w:pPr>
        <w:tabs>
          <w:tab w:val="left" w:pos="851"/>
          <w:tab w:val="left" w:pos="8222"/>
        </w:tabs>
        <w:ind w:left="851"/>
        <w:rPr>
          <w:sz w:val="24"/>
          <w:szCs w:val="24"/>
        </w:rPr>
      </w:pPr>
      <w:r w:rsidRPr="00E105B5">
        <w:rPr>
          <w:sz w:val="24"/>
          <w:szCs w:val="24"/>
        </w:rPr>
        <w:t>Ikke alle pakningsstørrelser er nødvendigvis markedsført.</w:t>
      </w:r>
    </w:p>
    <w:p w14:paraId="751A73D1" w14:textId="77777777" w:rsidR="005B0036" w:rsidRPr="00406EE7" w:rsidRDefault="005B0036" w:rsidP="005B0036">
      <w:pPr>
        <w:tabs>
          <w:tab w:val="left" w:pos="851"/>
          <w:tab w:val="left" w:pos="8222"/>
        </w:tabs>
        <w:ind w:left="851"/>
        <w:rPr>
          <w:sz w:val="24"/>
          <w:szCs w:val="24"/>
        </w:rPr>
      </w:pPr>
    </w:p>
    <w:p w14:paraId="12DA0F51" w14:textId="77777777"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14:paraId="10897E60" w14:textId="77777777" w:rsidR="00014947" w:rsidRPr="00014947" w:rsidRDefault="00014947" w:rsidP="00014947">
      <w:pPr>
        <w:tabs>
          <w:tab w:val="left" w:pos="851"/>
          <w:tab w:val="left" w:pos="8222"/>
        </w:tabs>
        <w:ind w:left="851"/>
        <w:rPr>
          <w:bCs/>
          <w:sz w:val="24"/>
          <w:szCs w:val="24"/>
        </w:rPr>
      </w:pPr>
      <w:r w:rsidRPr="00014947">
        <w:rPr>
          <w:sz w:val="24"/>
          <w:szCs w:val="24"/>
        </w:rPr>
        <w:t>Ikke anvendte veterinærlægemidler samt affald herfra skal destrueres i henhold til lokale retningslinjer.</w:t>
      </w:r>
    </w:p>
    <w:p w14:paraId="1E36751C" w14:textId="77777777" w:rsidR="005B0036" w:rsidRPr="00070728" w:rsidRDefault="005B0036" w:rsidP="005B0036">
      <w:pPr>
        <w:tabs>
          <w:tab w:val="left" w:pos="851"/>
          <w:tab w:val="left" w:pos="8222"/>
        </w:tabs>
        <w:ind w:left="851"/>
        <w:rPr>
          <w:sz w:val="24"/>
          <w:szCs w:val="24"/>
        </w:rPr>
      </w:pPr>
    </w:p>
    <w:p w14:paraId="2A3776AF" w14:textId="77777777"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14:paraId="39C4513D" w14:textId="13E05CCA" w:rsidR="00014947" w:rsidRPr="00596142" w:rsidRDefault="00014947" w:rsidP="00014947">
      <w:pPr>
        <w:tabs>
          <w:tab w:val="left" w:pos="851"/>
          <w:tab w:val="left" w:pos="8222"/>
        </w:tabs>
        <w:ind w:left="851"/>
        <w:rPr>
          <w:bCs/>
          <w:sz w:val="24"/>
          <w:szCs w:val="24"/>
        </w:rPr>
      </w:pPr>
      <w:r w:rsidRPr="00596142">
        <w:rPr>
          <w:sz w:val="24"/>
          <w:szCs w:val="24"/>
        </w:rPr>
        <w:t>Laboratorios Calier S.A.</w:t>
      </w:r>
    </w:p>
    <w:p w14:paraId="238274B9" w14:textId="77777777" w:rsidR="00304E1E" w:rsidRPr="00596142" w:rsidRDefault="00014947" w:rsidP="00014947">
      <w:pPr>
        <w:tabs>
          <w:tab w:val="left" w:pos="851"/>
          <w:tab w:val="left" w:pos="8222"/>
        </w:tabs>
        <w:ind w:left="851"/>
        <w:rPr>
          <w:sz w:val="24"/>
          <w:szCs w:val="24"/>
        </w:rPr>
      </w:pPr>
      <w:r w:rsidRPr="00596142">
        <w:rPr>
          <w:sz w:val="24"/>
          <w:szCs w:val="24"/>
        </w:rPr>
        <w:t>C</w:t>
      </w:r>
      <w:r w:rsidR="00304E1E" w:rsidRPr="00596142">
        <w:rPr>
          <w:sz w:val="24"/>
          <w:szCs w:val="24"/>
        </w:rPr>
        <w:t>alle de</w:t>
      </w:r>
      <w:r w:rsidRPr="00596142">
        <w:rPr>
          <w:sz w:val="24"/>
          <w:szCs w:val="24"/>
        </w:rPr>
        <w:t xml:space="preserve"> Barcelonès</w:t>
      </w:r>
      <w:r w:rsidR="00304E1E" w:rsidRPr="00596142">
        <w:rPr>
          <w:sz w:val="24"/>
          <w:szCs w:val="24"/>
        </w:rPr>
        <w:t xml:space="preserve"> </w:t>
      </w:r>
      <w:r w:rsidRPr="00596142">
        <w:rPr>
          <w:sz w:val="24"/>
          <w:szCs w:val="24"/>
        </w:rPr>
        <w:t>26</w:t>
      </w:r>
    </w:p>
    <w:p w14:paraId="1454A8C3" w14:textId="77777777" w:rsidR="00304E1E" w:rsidRPr="00596142" w:rsidRDefault="00304E1E" w:rsidP="00304E1E">
      <w:pPr>
        <w:tabs>
          <w:tab w:val="left" w:pos="851"/>
          <w:tab w:val="left" w:pos="8222"/>
        </w:tabs>
        <w:ind w:left="851"/>
        <w:rPr>
          <w:sz w:val="24"/>
          <w:szCs w:val="24"/>
        </w:rPr>
      </w:pPr>
      <w:r w:rsidRPr="00596142">
        <w:rPr>
          <w:sz w:val="24"/>
          <w:szCs w:val="24"/>
        </w:rPr>
        <w:t>Poligono Industrial El Ramassa</w:t>
      </w:r>
    </w:p>
    <w:p w14:paraId="610FD9EA" w14:textId="77777777" w:rsidR="00BC0ABD" w:rsidRPr="00596142" w:rsidRDefault="00BC0ABD" w:rsidP="00BC0ABD">
      <w:pPr>
        <w:tabs>
          <w:tab w:val="left" w:pos="851"/>
          <w:tab w:val="left" w:pos="8222"/>
        </w:tabs>
        <w:ind w:left="851"/>
        <w:rPr>
          <w:sz w:val="24"/>
          <w:szCs w:val="24"/>
        </w:rPr>
      </w:pPr>
      <w:r w:rsidRPr="00596142">
        <w:rPr>
          <w:sz w:val="24"/>
          <w:szCs w:val="24"/>
        </w:rPr>
        <w:t>08520 Les Franqueses Del Valles, Barcelona</w:t>
      </w:r>
    </w:p>
    <w:p w14:paraId="780B2970" w14:textId="35EA6073" w:rsidR="00014947" w:rsidRPr="00596142" w:rsidRDefault="00014947" w:rsidP="00014947">
      <w:pPr>
        <w:tabs>
          <w:tab w:val="left" w:pos="851"/>
          <w:tab w:val="left" w:pos="8222"/>
        </w:tabs>
        <w:ind w:left="851"/>
        <w:rPr>
          <w:bCs/>
          <w:sz w:val="24"/>
          <w:szCs w:val="24"/>
        </w:rPr>
      </w:pPr>
      <w:r w:rsidRPr="00596142">
        <w:rPr>
          <w:sz w:val="24"/>
          <w:szCs w:val="24"/>
        </w:rPr>
        <w:t>S</w:t>
      </w:r>
      <w:r w:rsidR="00BC0ABD" w:rsidRPr="00596142">
        <w:rPr>
          <w:sz w:val="24"/>
          <w:szCs w:val="24"/>
        </w:rPr>
        <w:t>panien</w:t>
      </w:r>
    </w:p>
    <w:p w14:paraId="07E570B5" w14:textId="77777777" w:rsidR="004D268F" w:rsidRPr="00596142" w:rsidRDefault="004D268F" w:rsidP="005B0036">
      <w:pPr>
        <w:tabs>
          <w:tab w:val="left" w:pos="851"/>
          <w:tab w:val="left" w:pos="8222"/>
        </w:tabs>
        <w:ind w:left="851"/>
        <w:rPr>
          <w:sz w:val="24"/>
          <w:szCs w:val="24"/>
        </w:rPr>
      </w:pPr>
    </w:p>
    <w:p w14:paraId="1610F83D" w14:textId="77777777"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14:paraId="240FEF30" w14:textId="4278F2B8" w:rsidR="005B0036" w:rsidRPr="00406EE7" w:rsidRDefault="00395608" w:rsidP="005B0036">
      <w:pPr>
        <w:tabs>
          <w:tab w:val="left" w:pos="851"/>
          <w:tab w:val="left" w:pos="8222"/>
        </w:tabs>
        <w:ind w:left="851"/>
        <w:rPr>
          <w:sz w:val="24"/>
          <w:szCs w:val="24"/>
        </w:rPr>
      </w:pPr>
      <w:r>
        <w:rPr>
          <w:sz w:val="24"/>
          <w:szCs w:val="24"/>
        </w:rPr>
        <w:t>67165</w:t>
      </w:r>
    </w:p>
    <w:p w14:paraId="1257D2AA" w14:textId="77777777" w:rsidR="005B0036" w:rsidRPr="00406EE7" w:rsidRDefault="005B0036" w:rsidP="005B0036">
      <w:pPr>
        <w:tabs>
          <w:tab w:val="left" w:pos="851"/>
          <w:tab w:val="left" w:pos="8222"/>
        </w:tabs>
        <w:ind w:left="851"/>
        <w:rPr>
          <w:sz w:val="24"/>
          <w:szCs w:val="24"/>
        </w:rPr>
      </w:pPr>
    </w:p>
    <w:p w14:paraId="4E398F83" w14:textId="77777777"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14:paraId="11436092" w14:textId="708C7E4C" w:rsidR="005B0036" w:rsidRPr="00406EE7" w:rsidRDefault="00596142" w:rsidP="005B0036">
      <w:pPr>
        <w:tabs>
          <w:tab w:val="left" w:pos="851"/>
          <w:tab w:val="left" w:pos="8222"/>
        </w:tabs>
        <w:ind w:left="851"/>
        <w:rPr>
          <w:sz w:val="24"/>
          <w:szCs w:val="24"/>
        </w:rPr>
      </w:pPr>
      <w:r>
        <w:rPr>
          <w:sz w:val="24"/>
          <w:szCs w:val="24"/>
        </w:rPr>
        <w:t>12. august 2022</w:t>
      </w:r>
    </w:p>
    <w:p w14:paraId="60DC7B8E" w14:textId="51BE9E6E" w:rsidR="00395608" w:rsidRDefault="00395608">
      <w:pPr>
        <w:rPr>
          <w:sz w:val="24"/>
          <w:szCs w:val="24"/>
        </w:rPr>
      </w:pPr>
      <w:r>
        <w:rPr>
          <w:sz w:val="24"/>
          <w:szCs w:val="24"/>
        </w:rPr>
        <w:br w:type="page"/>
      </w:r>
    </w:p>
    <w:p w14:paraId="18D0B057" w14:textId="77777777" w:rsidR="005B0036" w:rsidRPr="00406EE7" w:rsidRDefault="005B0036" w:rsidP="005B0036">
      <w:pPr>
        <w:tabs>
          <w:tab w:val="left" w:pos="851"/>
          <w:tab w:val="left" w:pos="8222"/>
        </w:tabs>
        <w:ind w:left="851"/>
        <w:rPr>
          <w:sz w:val="24"/>
          <w:szCs w:val="24"/>
        </w:rPr>
      </w:pPr>
    </w:p>
    <w:p w14:paraId="057CF179" w14:textId="56860DB8"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14:paraId="25485E3D" w14:textId="1435CB0C" w:rsidR="005B0036" w:rsidRPr="00406EE7" w:rsidRDefault="0033649B" w:rsidP="005B0036">
      <w:pPr>
        <w:tabs>
          <w:tab w:val="left" w:pos="851"/>
          <w:tab w:val="left" w:pos="8222"/>
        </w:tabs>
        <w:ind w:left="851"/>
        <w:rPr>
          <w:sz w:val="24"/>
          <w:szCs w:val="24"/>
        </w:rPr>
      </w:pPr>
      <w:r>
        <w:rPr>
          <w:sz w:val="24"/>
          <w:szCs w:val="24"/>
        </w:rPr>
        <w:t>-</w:t>
      </w:r>
    </w:p>
    <w:p w14:paraId="6454153D" w14:textId="77777777" w:rsidR="005B0036" w:rsidRPr="00406EE7" w:rsidRDefault="005B0036" w:rsidP="005B0036">
      <w:pPr>
        <w:tabs>
          <w:tab w:val="left" w:pos="851"/>
          <w:tab w:val="left" w:pos="8222"/>
        </w:tabs>
        <w:ind w:left="851"/>
        <w:rPr>
          <w:sz w:val="24"/>
          <w:szCs w:val="24"/>
        </w:rPr>
      </w:pPr>
    </w:p>
    <w:p w14:paraId="08BF9F27" w14:textId="77777777"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14:paraId="3A49546A" w14:textId="03DD1891" w:rsidR="005B0036" w:rsidRPr="00406EE7" w:rsidRDefault="00395608" w:rsidP="005B0036">
      <w:pPr>
        <w:pStyle w:val="Sidehoved"/>
        <w:tabs>
          <w:tab w:val="clear" w:pos="4819"/>
          <w:tab w:val="left" w:pos="851"/>
          <w:tab w:val="left" w:pos="8222"/>
        </w:tabs>
        <w:ind w:left="851"/>
        <w:rPr>
          <w:szCs w:val="24"/>
        </w:rPr>
      </w:pPr>
      <w:r>
        <w:rPr>
          <w:szCs w:val="24"/>
        </w:rPr>
        <w:t>BP</w:t>
      </w:r>
    </w:p>
    <w:sectPr w:rsidR="005B0036" w:rsidRPr="00406EE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FE113" w14:textId="77777777" w:rsidR="00016737" w:rsidRDefault="00016737">
      <w:r>
        <w:separator/>
      </w:r>
    </w:p>
  </w:endnote>
  <w:endnote w:type="continuationSeparator" w:id="0">
    <w:p w14:paraId="75D1424F" w14:textId="77777777" w:rsidR="00016737" w:rsidRDefault="0001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70B62" w14:textId="77777777" w:rsidR="004A62CC" w:rsidRDefault="004A62CC">
    <w:pPr>
      <w:pStyle w:val="Sidefod"/>
      <w:pBdr>
        <w:bottom w:val="single" w:sz="6" w:space="1" w:color="auto"/>
      </w:pBdr>
      <w:tabs>
        <w:tab w:val="clear" w:pos="4819"/>
        <w:tab w:val="left" w:pos="8647"/>
      </w:tabs>
      <w:rPr>
        <w:i/>
        <w:snapToGrid w:val="0"/>
        <w:sz w:val="18"/>
      </w:rPr>
    </w:pPr>
  </w:p>
  <w:p w14:paraId="6F1C9A92" w14:textId="77777777" w:rsidR="004A62CC" w:rsidRDefault="004A62CC">
    <w:pPr>
      <w:pStyle w:val="Sidefod"/>
      <w:tabs>
        <w:tab w:val="clear" w:pos="4819"/>
        <w:tab w:val="left" w:pos="8647"/>
      </w:tabs>
      <w:rPr>
        <w:i/>
        <w:snapToGrid w:val="0"/>
        <w:sz w:val="18"/>
      </w:rPr>
    </w:pPr>
  </w:p>
  <w:p w14:paraId="3762C96D" w14:textId="6E8E429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D0284">
      <w:rPr>
        <w:i/>
        <w:noProof/>
        <w:snapToGrid w:val="0"/>
        <w:sz w:val="18"/>
      </w:rPr>
      <w:t>Veterelin, injektionsvæske, opløsning 0,004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80FB" w14:textId="77777777" w:rsidR="004A62CC" w:rsidRDefault="004A62CC">
    <w:pPr>
      <w:pStyle w:val="Sidefod"/>
      <w:pBdr>
        <w:bottom w:val="single" w:sz="6" w:space="1" w:color="auto"/>
      </w:pBdr>
      <w:tabs>
        <w:tab w:val="clear" w:pos="4819"/>
        <w:tab w:val="left" w:pos="8647"/>
      </w:tabs>
      <w:rPr>
        <w:i/>
        <w:snapToGrid w:val="0"/>
        <w:sz w:val="18"/>
      </w:rPr>
    </w:pPr>
  </w:p>
  <w:p w14:paraId="7CCAD0A8" w14:textId="77777777" w:rsidR="004A62CC" w:rsidRDefault="004A62CC">
    <w:pPr>
      <w:pStyle w:val="Sidefod"/>
      <w:tabs>
        <w:tab w:val="clear" w:pos="4819"/>
        <w:tab w:val="left" w:pos="8647"/>
      </w:tabs>
      <w:rPr>
        <w:i/>
        <w:snapToGrid w:val="0"/>
        <w:sz w:val="18"/>
      </w:rPr>
    </w:pPr>
  </w:p>
  <w:p w14:paraId="0BB3B512" w14:textId="383A385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D0284">
      <w:rPr>
        <w:i/>
        <w:noProof/>
        <w:snapToGrid w:val="0"/>
        <w:sz w:val="18"/>
      </w:rPr>
      <w:t>Veterelin, injektionsvæske, opløsning 0,004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B0CD7" w14:textId="77777777" w:rsidR="00016737" w:rsidRDefault="00016737">
      <w:r>
        <w:separator/>
      </w:r>
    </w:p>
  </w:footnote>
  <w:footnote w:type="continuationSeparator" w:id="0">
    <w:p w14:paraId="56428D5D" w14:textId="77777777" w:rsidR="00016737" w:rsidRDefault="00016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03C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FEE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1154E"/>
    <w:multiLevelType w:val="hybridMultilevel"/>
    <w:tmpl w:val="BB148708"/>
    <w:lvl w:ilvl="0" w:tplc="41D4B8D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0000039"/>
    <w:multiLevelType w:val="hybridMultilevel"/>
    <w:tmpl w:val="91585D86"/>
    <w:lvl w:ilvl="0" w:tplc="41D4B8D0">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E141295"/>
    <w:multiLevelType w:val="hybridMultilevel"/>
    <w:tmpl w:val="0900AAC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37"/>
    <w:rsid w:val="00014947"/>
    <w:rsid w:val="00016737"/>
    <w:rsid w:val="0003527F"/>
    <w:rsid w:val="00053365"/>
    <w:rsid w:val="00065C7D"/>
    <w:rsid w:val="000C6CD4"/>
    <w:rsid w:val="001139C6"/>
    <w:rsid w:val="001577E4"/>
    <w:rsid w:val="001858CA"/>
    <w:rsid w:val="001C4AEF"/>
    <w:rsid w:val="001D3CC5"/>
    <w:rsid w:val="00247AB0"/>
    <w:rsid w:val="00304E1E"/>
    <w:rsid w:val="00322BDE"/>
    <w:rsid w:val="00333990"/>
    <w:rsid w:val="0033649B"/>
    <w:rsid w:val="00395608"/>
    <w:rsid w:val="003A70CE"/>
    <w:rsid w:val="003C7988"/>
    <w:rsid w:val="004018B3"/>
    <w:rsid w:val="00406EE7"/>
    <w:rsid w:val="00407013"/>
    <w:rsid w:val="004A62CC"/>
    <w:rsid w:val="004D0284"/>
    <w:rsid w:val="004D268F"/>
    <w:rsid w:val="00565A74"/>
    <w:rsid w:val="00596142"/>
    <w:rsid w:val="005B0036"/>
    <w:rsid w:val="005F5831"/>
    <w:rsid w:val="006238F8"/>
    <w:rsid w:val="0065332F"/>
    <w:rsid w:val="00654ED8"/>
    <w:rsid w:val="00662012"/>
    <w:rsid w:val="00666B01"/>
    <w:rsid w:val="006B1539"/>
    <w:rsid w:val="006F5621"/>
    <w:rsid w:val="007E2A00"/>
    <w:rsid w:val="007F20FD"/>
    <w:rsid w:val="008010F2"/>
    <w:rsid w:val="00896913"/>
    <w:rsid w:val="008A3A1A"/>
    <w:rsid w:val="0091362C"/>
    <w:rsid w:val="009202AE"/>
    <w:rsid w:val="00925D9E"/>
    <w:rsid w:val="009762EC"/>
    <w:rsid w:val="009D66C6"/>
    <w:rsid w:val="00A67B00"/>
    <w:rsid w:val="00A96525"/>
    <w:rsid w:val="00AC5DC0"/>
    <w:rsid w:val="00AE1D41"/>
    <w:rsid w:val="00AE29E5"/>
    <w:rsid w:val="00AE5757"/>
    <w:rsid w:val="00AF4AC1"/>
    <w:rsid w:val="00AF6388"/>
    <w:rsid w:val="00B25EB8"/>
    <w:rsid w:val="00B878E7"/>
    <w:rsid w:val="00BA66D6"/>
    <w:rsid w:val="00BC0ABD"/>
    <w:rsid w:val="00BC3EB4"/>
    <w:rsid w:val="00BC634B"/>
    <w:rsid w:val="00BF2AE0"/>
    <w:rsid w:val="00C3103C"/>
    <w:rsid w:val="00C43B44"/>
    <w:rsid w:val="00C479BF"/>
    <w:rsid w:val="00CA7109"/>
    <w:rsid w:val="00D76FBD"/>
    <w:rsid w:val="00DB4AD9"/>
    <w:rsid w:val="00DD6D71"/>
    <w:rsid w:val="00DF32BE"/>
    <w:rsid w:val="00E105B5"/>
    <w:rsid w:val="00E14F0A"/>
    <w:rsid w:val="00E42126"/>
    <w:rsid w:val="00EB3EA4"/>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1DDDF"/>
  <w15:chartTrackingRefBased/>
  <w15:docId w15:val="{54511EAF-CE45-4170-9535-5DE6CEBB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70715">
      <w:bodyDiv w:val="1"/>
      <w:marLeft w:val="0"/>
      <w:marRight w:val="0"/>
      <w:marTop w:val="0"/>
      <w:marBottom w:val="0"/>
      <w:divBdr>
        <w:top w:val="none" w:sz="0" w:space="0" w:color="auto"/>
        <w:left w:val="none" w:sz="0" w:space="0" w:color="auto"/>
        <w:bottom w:val="none" w:sz="0" w:space="0" w:color="auto"/>
        <w:right w:val="none" w:sz="0" w:space="0" w:color="auto"/>
      </w:divBdr>
    </w:div>
    <w:div w:id="131799228">
      <w:bodyDiv w:val="1"/>
      <w:marLeft w:val="0"/>
      <w:marRight w:val="0"/>
      <w:marTop w:val="0"/>
      <w:marBottom w:val="0"/>
      <w:divBdr>
        <w:top w:val="none" w:sz="0" w:space="0" w:color="auto"/>
        <w:left w:val="none" w:sz="0" w:space="0" w:color="auto"/>
        <w:bottom w:val="none" w:sz="0" w:space="0" w:color="auto"/>
        <w:right w:val="none" w:sz="0" w:space="0" w:color="auto"/>
      </w:divBdr>
    </w:div>
    <w:div w:id="133833620">
      <w:bodyDiv w:val="1"/>
      <w:marLeft w:val="0"/>
      <w:marRight w:val="0"/>
      <w:marTop w:val="0"/>
      <w:marBottom w:val="0"/>
      <w:divBdr>
        <w:top w:val="none" w:sz="0" w:space="0" w:color="auto"/>
        <w:left w:val="none" w:sz="0" w:space="0" w:color="auto"/>
        <w:bottom w:val="none" w:sz="0" w:space="0" w:color="auto"/>
        <w:right w:val="none" w:sz="0" w:space="0" w:color="auto"/>
      </w:divBdr>
    </w:div>
    <w:div w:id="15770012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25068596">
      <w:bodyDiv w:val="1"/>
      <w:marLeft w:val="0"/>
      <w:marRight w:val="0"/>
      <w:marTop w:val="0"/>
      <w:marBottom w:val="0"/>
      <w:divBdr>
        <w:top w:val="none" w:sz="0" w:space="0" w:color="auto"/>
        <w:left w:val="none" w:sz="0" w:space="0" w:color="auto"/>
        <w:bottom w:val="none" w:sz="0" w:space="0" w:color="auto"/>
        <w:right w:val="none" w:sz="0" w:space="0" w:color="auto"/>
      </w:divBdr>
    </w:div>
    <w:div w:id="325011837">
      <w:bodyDiv w:val="1"/>
      <w:marLeft w:val="0"/>
      <w:marRight w:val="0"/>
      <w:marTop w:val="0"/>
      <w:marBottom w:val="0"/>
      <w:divBdr>
        <w:top w:val="none" w:sz="0" w:space="0" w:color="auto"/>
        <w:left w:val="none" w:sz="0" w:space="0" w:color="auto"/>
        <w:bottom w:val="none" w:sz="0" w:space="0" w:color="auto"/>
        <w:right w:val="none" w:sz="0" w:space="0" w:color="auto"/>
      </w:divBdr>
    </w:div>
    <w:div w:id="347216242">
      <w:bodyDiv w:val="1"/>
      <w:marLeft w:val="0"/>
      <w:marRight w:val="0"/>
      <w:marTop w:val="0"/>
      <w:marBottom w:val="0"/>
      <w:divBdr>
        <w:top w:val="none" w:sz="0" w:space="0" w:color="auto"/>
        <w:left w:val="none" w:sz="0" w:space="0" w:color="auto"/>
        <w:bottom w:val="none" w:sz="0" w:space="0" w:color="auto"/>
        <w:right w:val="none" w:sz="0" w:space="0" w:color="auto"/>
      </w:divBdr>
    </w:div>
    <w:div w:id="355154660">
      <w:bodyDiv w:val="1"/>
      <w:marLeft w:val="0"/>
      <w:marRight w:val="0"/>
      <w:marTop w:val="0"/>
      <w:marBottom w:val="0"/>
      <w:divBdr>
        <w:top w:val="none" w:sz="0" w:space="0" w:color="auto"/>
        <w:left w:val="none" w:sz="0" w:space="0" w:color="auto"/>
        <w:bottom w:val="none" w:sz="0" w:space="0" w:color="auto"/>
        <w:right w:val="none" w:sz="0" w:space="0" w:color="auto"/>
      </w:divBdr>
    </w:div>
    <w:div w:id="360086174">
      <w:bodyDiv w:val="1"/>
      <w:marLeft w:val="0"/>
      <w:marRight w:val="0"/>
      <w:marTop w:val="0"/>
      <w:marBottom w:val="0"/>
      <w:divBdr>
        <w:top w:val="none" w:sz="0" w:space="0" w:color="auto"/>
        <w:left w:val="none" w:sz="0" w:space="0" w:color="auto"/>
        <w:bottom w:val="none" w:sz="0" w:space="0" w:color="auto"/>
        <w:right w:val="none" w:sz="0" w:space="0" w:color="auto"/>
      </w:divBdr>
    </w:div>
    <w:div w:id="476071682">
      <w:bodyDiv w:val="1"/>
      <w:marLeft w:val="0"/>
      <w:marRight w:val="0"/>
      <w:marTop w:val="0"/>
      <w:marBottom w:val="0"/>
      <w:divBdr>
        <w:top w:val="none" w:sz="0" w:space="0" w:color="auto"/>
        <w:left w:val="none" w:sz="0" w:space="0" w:color="auto"/>
        <w:bottom w:val="none" w:sz="0" w:space="0" w:color="auto"/>
        <w:right w:val="none" w:sz="0" w:space="0" w:color="auto"/>
      </w:divBdr>
    </w:div>
    <w:div w:id="529341403">
      <w:bodyDiv w:val="1"/>
      <w:marLeft w:val="0"/>
      <w:marRight w:val="0"/>
      <w:marTop w:val="0"/>
      <w:marBottom w:val="0"/>
      <w:divBdr>
        <w:top w:val="none" w:sz="0" w:space="0" w:color="auto"/>
        <w:left w:val="none" w:sz="0" w:space="0" w:color="auto"/>
        <w:bottom w:val="none" w:sz="0" w:space="0" w:color="auto"/>
        <w:right w:val="none" w:sz="0" w:space="0" w:color="auto"/>
      </w:divBdr>
    </w:div>
    <w:div w:id="572660391">
      <w:bodyDiv w:val="1"/>
      <w:marLeft w:val="0"/>
      <w:marRight w:val="0"/>
      <w:marTop w:val="0"/>
      <w:marBottom w:val="0"/>
      <w:divBdr>
        <w:top w:val="none" w:sz="0" w:space="0" w:color="auto"/>
        <w:left w:val="none" w:sz="0" w:space="0" w:color="auto"/>
        <w:bottom w:val="none" w:sz="0" w:space="0" w:color="auto"/>
        <w:right w:val="none" w:sz="0" w:space="0" w:color="auto"/>
      </w:divBdr>
    </w:div>
    <w:div w:id="576788263">
      <w:bodyDiv w:val="1"/>
      <w:marLeft w:val="0"/>
      <w:marRight w:val="0"/>
      <w:marTop w:val="0"/>
      <w:marBottom w:val="0"/>
      <w:divBdr>
        <w:top w:val="none" w:sz="0" w:space="0" w:color="auto"/>
        <w:left w:val="none" w:sz="0" w:space="0" w:color="auto"/>
        <w:bottom w:val="none" w:sz="0" w:space="0" w:color="auto"/>
        <w:right w:val="none" w:sz="0" w:space="0" w:color="auto"/>
      </w:divBdr>
    </w:div>
    <w:div w:id="585040921">
      <w:bodyDiv w:val="1"/>
      <w:marLeft w:val="0"/>
      <w:marRight w:val="0"/>
      <w:marTop w:val="0"/>
      <w:marBottom w:val="0"/>
      <w:divBdr>
        <w:top w:val="none" w:sz="0" w:space="0" w:color="auto"/>
        <w:left w:val="none" w:sz="0" w:space="0" w:color="auto"/>
        <w:bottom w:val="none" w:sz="0" w:space="0" w:color="auto"/>
        <w:right w:val="none" w:sz="0" w:space="0" w:color="auto"/>
      </w:divBdr>
    </w:div>
    <w:div w:id="656572177">
      <w:bodyDiv w:val="1"/>
      <w:marLeft w:val="0"/>
      <w:marRight w:val="0"/>
      <w:marTop w:val="0"/>
      <w:marBottom w:val="0"/>
      <w:divBdr>
        <w:top w:val="none" w:sz="0" w:space="0" w:color="auto"/>
        <w:left w:val="none" w:sz="0" w:space="0" w:color="auto"/>
        <w:bottom w:val="none" w:sz="0" w:space="0" w:color="auto"/>
        <w:right w:val="none" w:sz="0" w:space="0" w:color="auto"/>
      </w:divBdr>
    </w:div>
    <w:div w:id="700476198">
      <w:bodyDiv w:val="1"/>
      <w:marLeft w:val="0"/>
      <w:marRight w:val="0"/>
      <w:marTop w:val="0"/>
      <w:marBottom w:val="0"/>
      <w:divBdr>
        <w:top w:val="none" w:sz="0" w:space="0" w:color="auto"/>
        <w:left w:val="none" w:sz="0" w:space="0" w:color="auto"/>
        <w:bottom w:val="none" w:sz="0" w:space="0" w:color="auto"/>
        <w:right w:val="none" w:sz="0" w:space="0" w:color="auto"/>
      </w:divBdr>
    </w:div>
    <w:div w:id="716008544">
      <w:bodyDiv w:val="1"/>
      <w:marLeft w:val="0"/>
      <w:marRight w:val="0"/>
      <w:marTop w:val="0"/>
      <w:marBottom w:val="0"/>
      <w:divBdr>
        <w:top w:val="none" w:sz="0" w:space="0" w:color="auto"/>
        <w:left w:val="none" w:sz="0" w:space="0" w:color="auto"/>
        <w:bottom w:val="none" w:sz="0" w:space="0" w:color="auto"/>
        <w:right w:val="none" w:sz="0" w:space="0" w:color="auto"/>
      </w:divBdr>
    </w:div>
    <w:div w:id="907886712">
      <w:bodyDiv w:val="1"/>
      <w:marLeft w:val="0"/>
      <w:marRight w:val="0"/>
      <w:marTop w:val="0"/>
      <w:marBottom w:val="0"/>
      <w:divBdr>
        <w:top w:val="none" w:sz="0" w:space="0" w:color="auto"/>
        <w:left w:val="none" w:sz="0" w:space="0" w:color="auto"/>
        <w:bottom w:val="none" w:sz="0" w:space="0" w:color="auto"/>
        <w:right w:val="none" w:sz="0" w:space="0" w:color="auto"/>
      </w:divBdr>
    </w:div>
    <w:div w:id="971251536">
      <w:bodyDiv w:val="1"/>
      <w:marLeft w:val="0"/>
      <w:marRight w:val="0"/>
      <w:marTop w:val="0"/>
      <w:marBottom w:val="0"/>
      <w:divBdr>
        <w:top w:val="none" w:sz="0" w:space="0" w:color="auto"/>
        <w:left w:val="none" w:sz="0" w:space="0" w:color="auto"/>
        <w:bottom w:val="none" w:sz="0" w:space="0" w:color="auto"/>
        <w:right w:val="none" w:sz="0" w:space="0" w:color="auto"/>
      </w:divBdr>
    </w:div>
    <w:div w:id="990058638">
      <w:bodyDiv w:val="1"/>
      <w:marLeft w:val="0"/>
      <w:marRight w:val="0"/>
      <w:marTop w:val="0"/>
      <w:marBottom w:val="0"/>
      <w:divBdr>
        <w:top w:val="none" w:sz="0" w:space="0" w:color="auto"/>
        <w:left w:val="none" w:sz="0" w:space="0" w:color="auto"/>
        <w:bottom w:val="none" w:sz="0" w:space="0" w:color="auto"/>
        <w:right w:val="none" w:sz="0" w:space="0" w:color="auto"/>
      </w:divBdr>
    </w:div>
    <w:div w:id="1027026802">
      <w:bodyDiv w:val="1"/>
      <w:marLeft w:val="0"/>
      <w:marRight w:val="0"/>
      <w:marTop w:val="0"/>
      <w:marBottom w:val="0"/>
      <w:divBdr>
        <w:top w:val="none" w:sz="0" w:space="0" w:color="auto"/>
        <w:left w:val="none" w:sz="0" w:space="0" w:color="auto"/>
        <w:bottom w:val="none" w:sz="0" w:space="0" w:color="auto"/>
        <w:right w:val="none" w:sz="0" w:space="0" w:color="auto"/>
      </w:divBdr>
    </w:div>
    <w:div w:id="1085221950">
      <w:bodyDiv w:val="1"/>
      <w:marLeft w:val="0"/>
      <w:marRight w:val="0"/>
      <w:marTop w:val="0"/>
      <w:marBottom w:val="0"/>
      <w:divBdr>
        <w:top w:val="none" w:sz="0" w:space="0" w:color="auto"/>
        <w:left w:val="none" w:sz="0" w:space="0" w:color="auto"/>
        <w:bottom w:val="none" w:sz="0" w:space="0" w:color="auto"/>
        <w:right w:val="none" w:sz="0" w:space="0" w:color="auto"/>
      </w:divBdr>
    </w:div>
    <w:div w:id="1100417543">
      <w:bodyDiv w:val="1"/>
      <w:marLeft w:val="0"/>
      <w:marRight w:val="0"/>
      <w:marTop w:val="0"/>
      <w:marBottom w:val="0"/>
      <w:divBdr>
        <w:top w:val="none" w:sz="0" w:space="0" w:color="auto"/>
        <w:left w:val="none" w:sz="0" w:space="0" w:color="auto"/>
        <w:bottom w:val="none" w:sz="0" w:space="0" w:color="auto"/>
        <w:right w:val="none" w:sz="0" w:space="0" w:color="auto"/>
      </w:divBdr>
    </w:div>
    <w:div w:id="1114982553">
      <w:bodyDiv w:val="1"/>
      <w:marLeft w:val="0"/>
      <w:marRight w:val="0"/>
      <w:marTop w:val="0"/>
      <w:marBottom w:val="0"/>
      <w:divBdr>
        <w:top w:val="none" w:sz="0" w:space="0" w:color="auto"/>
        <w:left w:val="none" w:sz="0" w:space="0" w:color="auto"/>
        <w:bottom w:val="none" w:sz="0" w:space="0" w:color="auto"/>
        <w:right w:val="none" w:sz="0" w:space="0" w:color="auto"/>
      </w:divBdr>
    </w:div>
    <w:div w:id="1128934719">
      <w:bodyDiv w:val="1"/>
      <w:marLeft w:val="0"/>
      <w:marRight w:val="0"/>
      <w:marTop w:val="0"/>
      <w:marBottom w:val="0"/>
      <w:divBdr>
        <w:top w:val="none" w:sz="0" w:space="0" w:color="auto"/>
        <w:left w:val="none" w:sz="0" w:space="0" w:color="auto"/>
        <w:bottom w:val="none" w:sz="0" w:space="0" w:color="auto"/>
        <w:right w:val="none" w:sz="0" w:space="0" w:color="auto"/>
      </w:divBdr>
    </w:div>
    <w:div w:id="1224218900">
      <w:bodyDiv w:val="1"/>
      <w:marLeft w:val="0"/>
      <w:marRight w:val="0"/>
      <w:marTop w:val="0"/>
      <w:marBottom w:val="0"/>
      <w:divBdr>
        <w:top w:val="none" w:sz="0" w:space="0" w:color="auto"/>
        <w:left w:val="none" w:sz="0" w:space="0" w:color="auto"/>
        <w:bottom w:val="none" w:sz="0" w:space="0" w:color="auto"/>
        <w:right w:val="none" w:sz="0" w:space="0" w:color="auto"/>
      </w:divBdr>
    </w:div>
    <w:div w:id="1253466152">
      <w:bodyDiv w:val="1"/>
      <w:marLeft w:val="0"/>
      <w:marRight w:val="0"/>
      <w:marTop w:val="0"/>
      <w:marBottom w:val="0"/>
      <w:divBdr>
        <w:top w:val="none" w:sz="0" w:space="0" w:color="auto"/>
        <w:left w:val="none" w:sz="0" w:space="0" w:color="auto"/>
        <w:bottom w:val="none" w:sz="0" w:space="0" w:color="auto"/>
        <w:right w:val="none" w:sz="0" w:space="0" w:color="auto"/>
      </w:divBdr>
    </w:div>
    <w:div w:id="1268777045">
      <w:bodyDiv w:val="1"/>
      <w:marLeft w:val="0"/>
      <w:marRight w:val="0"/>
      <w:marTop w:val="0"/>
      <w:marBottom w:val="0"/>
      <w:divBdr>
        <w:top w:val="none" w:sz="0" w:space="0" w:color="auto"/>
        <w:left w:val="none" w:sz="0" w:space="0" w:color="auto"/>
        <w:bottom w:val="none" w:sz="0" w:space="0" w:color="auto"/>
        <w:right w:val="none" w:sz="0" w:space="0" w:color="auto"/>
      </w:divBdr>
    </w:div>
    <w:div w:id="1369715838">
      <w:bodyDiv w:val="1"/>
      <w:marLeft w:val="0"/>
      <w:marRight w:val="0"/>
      <w:marTop w:val="0"/>
      <w:marBottom w:val="0"/>
      <w:divBdr>
        <w:top w:val="none" w:sz="0" w:space="0" w:color="auto"/>
        <w:left w:val="none" w:sz="0" w:space="0" w:color="auto"/>
        <w:bottom w:val="none" w:sz="0" w:space="0" w:color="auto"/>
        <w:right w:val="none" w:sz="0" w:space="0" w:color="auto"/>
      </w:divBdr>
    </w:div>
    <w:div w:id="1406226843">
      <w:bodyDiv w:val="1"/>
      <w:marLeft w:val="0"/>
      <w:marRight w:val="0"/>
      <w:marTop w:val="0"/>
      <w:marBottom w:val="0"/>
      <w:divBdr>
        <w:top w:val="none" w:sz="0" w:space="0" w:color="auto"/>
        <w:left w:val="none" w:sz="0" w:space="0" w:color="auto"/>
        <w:bottom w:val="none" w:sz="0" w:space="0" w:color="auto"/>
        <w:right w:val="none" w:sz="0" w:space="0" w:color="auto"/>
      </w:divBdr>
    </w:div>
    <w:div w:id="1447458104">
      <w:bodyDiv w:val="1"/>
      <w:marLeft w:val="0"/>
      <w:marRight w:val="0"/>
      <w:marTop w:val="0"/>
      <w:marBottom w:val="0"/>
      <w:divBdr>
        <w:top w:val="none" w:sz="0" w:space="0" w:color="auto"/>
        <w:left w:val="none" w:sz="0" w:space="0" w:color="auto"/>
        <w:bottom w:val="none" w:sz="0" w:space="0" w:color="auto"/>
        <w:right w:val="none" w:sz="0" w:space="0" w:color="auto"/>
      </w:divBdr>
    </w:div>
    <w:div w:id="1464346144">
      <w:bodyDiv w:val="1"/>
      <w:marLeft w:val="0"/>
      <w:marRight w:val="0"/>
      <w:marTop w:val="0"/>
      <w:marBottom w:val="0"/>
      <w:divBdr>
        <w:top w:val="none" w:sz="0" w:space="0" w:color="auto"/>
        <w:left w:val="none" w:sz="0" w:space="0" w:color="auto"/>
        <w:bottom w:val="none" w:sz="0" w:space="0" w:color="auto"/>
        <w:right w:val="none" w:sz="0" w:space="0" w:color="auto"/>
      </w:divBdr>
    </w:div>
    <w:div w:id="1470318722">
      <w:bodyDiv w:val="1"/>
      <w:marLeft w:val="0"/>
      <w:marRight w:val="0"/>
      <w:marTop w:val="0"/>
      <w:marBottom w:val="0"/>
      <w:divBdr>
        <w:top w:val="none" w:sz="0" w:space="0" w:color="auto"/>
        <w:left w:val="none" w:sz="0" w:space="0" w:color="auto"/>
        <w:bottom w:val="none" w:sz="0" w:space="0" w:color="auto"/>
        <w:right w:val="none" w:sz="0" w:space="0" w:color="auto"/>
      </w:divBdr>
    </w:div>
    <w:div w:id="1548641616">
      <w:bodyDiv w:val="1"/>
      <w:marLeft w:val="0"/>
      <w:marRight w:val="0"/>
      <w:marTop w:val="0"/>
      <w:marBottom w:val="0"/>
      <w:divBdr>
        <w:top w:val="none" w:sz="0" w:space="0" w:color="auto"/>
        <w:left w:val="none" w:sz="0" w:space="0" w:color="auto"/>
        <w:bottom w:val="none" w:sz="0" w:space="0" w:color="auto"/>
        <w:right w:val="none" w:sz="0" w:space="0" w:color="auto"/>
      </w:divBdr>
    </w:div>
    <w:div w:id="1556551116">
      <w:bodyDiv w:val="1"/>
      <w:marLeft w:val="0"/>
      <w:marRight w:val="0"/>
      <w:marTop w:val="0"/>
      <w:marBottom w:val="0"/>
      <w:divBdr>
        <w:top w:val="none" w:sz="0" w:space="0" w:color="auto"/>
        <w:left w:val="none" w:sz="0" w:space="0" w:color="auto"/>
        <w:bottom w:val="none" w:sz="0" w:space="0" w:color="auto"/>
        <w:right w:val="none" w:sz="0" w:space="0" w:color="auto"/>
      </w:divBdr>
    </w:div>
    <w:div w:id="1580098559">
      <w:bodyDiv w:val="1"/>
      <w:marLeft w:val="0"/>
      <w:marRight w:val="0"/>
      <w:marTop w:val="0"/>
      <w:marBottom w:val="0"/>
      <w:divBdr>
        <w:top w:val="none" w:sz="0" w:space="0" w:color="auto"/>
        <w:left w:val="none" w:sz="0" w:space="0" w:color="auto"/>
        <w:bottom w:val="none" w:sz="0" w:space="0" w:color="auto"/>
        <w:right w:val="none" w:sz="0" w:space="0" w:color="auto"/>
      </w:divBdr>
    </w:div>
    <w:div w:id="1607228455">
      <w:bodyDiv w:val="1"/>
      <w:marLeft w:val="0"/>
      <w:marRight w:val="0"/>
      <w:marTop w:val="0"/>
      <w:marBottom w:val="0"/>
      <w:divBdr>
        <w:top w:val="none" w:sz="0" w:space="0" w:color="auto"/>
        <w:left w:val="none" w:sz="0" w:space="0" w:color="auto"/>
        <w:bottom w:val="none" w:sz="0" w:space="0" w:color="auto"/>
        <w:right w:val="none" w:sz="0" w:space="0" w:color="auto"/>
      </w:divBdr>
    </w:div>
    <w:div w:id="1661349539">
      <w:bodyDiv w:val="1"/>
      <w:marLeft w:val="0"/>
      <w:marRight w:val="0"/>
      <w:marTop w:val="0"/>
      <w:marBottom w:val="0"/>
      <w:divBdr>
        <w:top w:val="none" w:sz="0" w:space="0" w:color="auto"/>
        <w:left w:val="none" w:sz="0" w:space="0" w:color="auto"/>
        <w:bottom w:val="none" w:sz="0" w:space="0" w:color="auto"/>
        <w:right w:val="none" w:sz="0" w:space="0" w:color="auto"/>
      </w:divBdr>
    </w:div>
    <w:div w:id="1708024427">
      <w:bodyDiv w:val="1"/>
      <w:marLeft w:val="0"/>
      <w:marRight w:val="0"/>
      <w:marTop w:val="0"/>
      <w:marBottom w:val="0"/>
      <w:divBdr>
        <w:top w:val="none" w:sz="0" w:space="0" w:color="auto"/>
        <w:left w:val="none" w:sz="0" w:space="0" w:color="auto"/>
        <w:bottom w:val="none" w:sz="0" w:space="0" w:color="auto"/>
        <w:right w:val="none" w:sz="0" w:space="0" w:color="auto"/>
      </w:divBdr>
    </w:div>
    <w:div w:id="1783380915">
      <w:bodyDiv w:val="1"/>
      <w:marLeft w:val="0"/>
      <w:marRight w:val="0"/>
      <w:marTop w:val="0"/>
      <w:marBottom w:val="0"/>
      <w:divBdr>
        <w:top w:val="none" w:sz="0" w:space="0" w:color="auto"/>
        <w:left w:val="none" w:sz="0" w:space="0" w:color="auto"/>
        <w:bottom w:val="none" w:sz="0" w:space="0" w:color="auto"/>
        <w:right w:val="none" w:sz="0" w:space="0" w:color="auto"/>
      </w:divBdr>
    </w:div>
    <w:div w:id="1810587825">
      <w:bodyDiv w:val="1"/>
      <w:marLeft w:val="0"/>
      <w:marRight w:val="0"/>
      <w:marTop w:val="0"/>
      <w:marBottom w:val="0"/>
      <w:divBdr>
        <w:top w:val="none" w:sz="0" w:space="0" w:color="auto"/>
        <w:left w:val="none" w:sz="0" w:space="0" w:color="auto"/>
        <w:bottom w:val="none" w:sz="0" w:space="0" w:color="auto"/>
        <w:right w:val="none" w:sz="0" w:space="0" w:color="auto"/>
      </w:divBdr>
    </w:div>
    <w:div w:id="1839617967">
      <w:bodyDiv w:val="1"/>
      <w:marLeft w:val="0"/>
      <w:marRight w:val="0"/>
      <w:marTop w:val="0"/>
      <w:marBottom w:val="0"/>
      <w:divBdr>
        <w:top w:val="none" w:sz="0" w:space="0" w:color="auto"/>
        <w:left w:val="none" w:sz="0" w:space="0" w:color="auto"/>
        <w:bottom w:val="none" w:sz="0" w:space="0" w:color="auto"/>
        <w:right w:val="none" w:sz="0" w:space="0" w:color="auto"/>
      </w:divBdr>
    </w:div>
    <w:div w:id="1865634457">
      <w:bodyDiv w:val="1"/>
      <w:marLeft w:val="0"/>
      <w:marRight w:val="0"/>
      <w:marTop w:val="0"/>
      <w:marBottom w:val="0"/>
      <w:divBdr>
        <w:top w:val="none" w:sz="0" w:space="0" w:color="auto"/>
        <w:left w:val="none" w:sz="0" w:space="0" w:color="auto"/>
        <w:bottom w:val="none" w:sz="0" w:space="0" w:color="auto"/>
        <w:right w:val="none" w:sz="0" w:space="0" w:color="auto"/>
      </w:divBdr>
    </w:div>
    <w:div w:id="2062707819">
      <w:bodyDiv w:val="1"/>
      <w:marLeft w:val="0"/>
      <w:marRight w:val="0"/>
      <w:marTop w:val="0"/>
      <w:marBottom w:val="0"/>
      <w:divBdr>
        <w:top w:val="none" w:sz="0" w:space="0" w:color="auto"/>
        <w:left w:val="none" w:sz="0" w:space="0" w:color="auto"/>
        <w:bottom w:val="none" w:sz="0" w:space="0" w:color="auto"/>
        <w:right w:val="none" w:sz="0" w:space="0" w:color="auto"/>
      </w:divBdr>
    </w:div>
    <w:div w:id="21004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56</TotalTime>
  <Pages>6</Pages>
  <Words>1014</Words>
  <Characters>6609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2021120644 mt</dc:description>
  <cp:lastModifiedBy>Hanne Thy Iversen</cp:lastModifiedBy>
  <cp:revision>17</cp:revision>
  <dcterms:created xsi:type="dcterms:W3CDTF">2022-08-11T12:13:00Z</dcterms:created>
  <dcterms:modified xsi:type="dcterms:W3CDTF">2022-08-12T09:18:00Z</dcterms:modified>
</cp:coreProperties>
</file>