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FBA" w:rsidRPr="00183814" w:rsidRDefault="00827FBA" w:rsidP="00827FBA">
      <w:pPr>
        <w:rPr>
          <w:sz w:val="24"/>
          <w:szCs w:val="24"/>
        </w:rPr>
      </w:pPr>
      <w:bookmarkStart w:id="0" w:name="_GoBack"/>
      <w:bookmarkEnd w:id="0"/>
      <w:r w:rsidRPr="00183814">
        <w:rPr>
          <w:noProof/>
          <w:sz w:val="24"/>
          <w:szCs w:val="24"/>
          <w:lang w:eastAsia="da-DK"/>
        </w:rPr>
        <w:drawing>
          <wp:inline distT="0" distB="0" distL="0" distR="0" wp14:anchorId="2DA47F82" wp14:editId="1ABC5AE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7FBA" w:rsidRPr="00183814" w:rsidRDefault="00183814" w:rsidP="00827FBA">
      <w:pPr>
        <w:tabs>
          <w:tab w:val="left" w:pos="8222"/>
        </w:tabs>
        <w:jc w:val="right"/>
        <w:rPr>
          <w:b/>
          <w:sz w:val="24"/>
          <w:szCs w:val="24"/>
        </w:rPr>
      </w:pPr>
      <w:r w:rsidRPr="00183814">
        <w:rPr>
          <w:b/>
          <w:sz w:val="24"/>
          <w:szCs w:val="24"/>
        </w:rPr>
        <w:t>28. januar 2025</w:t>
      </w:r>
    </w:p>
    <w:p w:rsidR="00827FBA" w:rsidRPr="00183814" w:rsidRDefault="00827FBA" w:rsidP="00827FBA">
      <w:pPr>
        <w:tabs>
          <w:tab w:val="left" w:pos="8222"/>
        </w:tabs>
        <w:rPr>
          <w:sz w:val="24"/>
          <w:szCs w:val="24"/>
        </w:rPr>
      </w:pPr>
    </w:p>
    <w:p w:rsidR="00827FBA" w:rsidRPr="00183814" w:rsidRDefault="00827FBA" w:rsidP="00827FBA">
      <w:pPr>
        <w:tabs>
          <w:tab w:val="left" w:pos="8222"/>
        </w:tabs>
        <w:rPr>
          <w:sz w:val="24"/>
          <w:szCs w:val="24"/>
        </w:rPr>
      </w:pPr>
    </w:p>
    <w:p w:rsidR="00827FBA" w:rsidRPr="00183814" w:rsidRDefault="00827FBA" w:rsidP="00827FBA">
      <w:pPr>
        <w:tabs>
          <w:tab w:val="left" w:pos="8222"/>
        </w:tabs>
        <w:rPr>
          <w:sz w:val="24"/>
          <w:szCs w:val="24"/>
        </w:rPr>
      </w:pPr>
    </w:p>
    <w:p w:rsidR="00827FBA" w:rsidRPr="00183814" w:rsidRDefault="00827FBA" w:rsidP="00827FBA">
      <w:pPr>
        <w:tabs>
          <w:tab w:val="left" w:pos="8222"/>
        </w:tabs>
        <w:jc w:val="center"/>
        <w:rPr>
          <w:b/>
          <w:sz w:val="24"/>
          <w:szCs w:val="24"/>
        </w:rPr>
      </w:pPr>
      <w:r w:rsidRPr="00183814">
        <w:rPr>
          <w:b/>
          <w:sz w:val="24"/>
          <w:szCs w:val="24"/>
        </w:rPr>
        <w:t>PRODUKTRESUMÉ</w:t>
      </w:r>
    </w:p>
    <w:p w:rsidR="00827FBA" w:rsidRPr="00183814" w:rsidRDefault="00827FBA" w:rsidP="00827FBA">
      <w:pPr>
        <w:tabs>
          <w:tab w:val="left" w:pos="8222"/>
        </w:tabs>
        <w:jc w:val="center"/>
        <w:rPr>
          <w:b/>
          <w:sz w:val="24"/>
          <w:szCs w:val="24"/>
        </w:rPr>
      </w:pPr>
    </w:p>
    <w:p w:rsidR="00827FBA" w:rsidRPr="00183814" w:rsidRDefault="00827FBA" w:rsidP="00827FBA">
      <w:pPr>
        <w:tabs>
          <w:tab w:val="left" w:pos="8222"/>
        </w:tabs>
        <w:jc w:val="center"/>
        <w:rPr>
          <w:b/>
          <w:sz w:val="24"/>
          <w:szCs w:val="24"/>
        </w:rPr>
      </w:pPr>
      <w:r w:rsidRPr="00183814">
        <w:rPr>
          <w:b/>
          <w:sz w:val="24"/>
          <w:szCs w:val="24"/>
        </w:rPr>
        <w:t>for</w:t>
      </w:r>
    </w:p>
    <w:p w:rsidR="00827FBA" w:rsidRPr="00183814" w:rsidRDefault="00827FBA" w:rsidP="00827FBA">
      <w:pPr>
        <w:tabs>
          <w:tab w:val="left" w:pos="8222"/>
        </w:tabs>
        <w:jc w:val="center"/>
        <w:rPr>
          <w:b/>
          <w:sz w:val="24"/>
          <w:szCs w:val="24"/>
        </w:rPr>
      </w:pPr>
    </w:p>
    <w:p w:rsidR="00827FBA" w:rsidRPr="00183814" w:rsidRDefault="00827FBA" w:rsidP="00827FBA">
      <w:pPr>
        <w:tabs>
          <w:tab w:val="left" w:pos="8222"/>
        </w:tabs>
        <w:jc w:val="center"/>
        <w:rPr>
          <w:b/>
          <w:sz w:val="24"/>
          <w:szCs w:val="24"/>
        </w:rPr>
      </w:pPr>
      <w:proofErr w:type="spellStart"/>
      <w:r w:rsidRPr="00183814">
        <w:rPr>
          <w:b/>
          <w:sz w:val="24"/>
          <w:szCs w:val="24"/>
        </w:rPr>
        <w:t>Vetmedin</w:t>
      </w:r>
      <w:proofErr w:type="spellEnd"/>
      <w:r w:rsidRPr="00183814">
        <w:rPr>
          <w:b/>
          <w:sz w:val="24"/>
          <w:szCs w:val="24"/>
        </w:rPr>
        <w:t xml:space="preserve"> </w:t>
      </w:r>
      <w:proofErr w:type="spellStart"/>
      <w:r w:rsidRPr="00183814">
        <w:rPr>
          <w:b/>
          <w:sz w:val="24"/>
          <w:szCs w:val="24"/>
        </w:rPr>
        <w:t>Vet</w:t>
      </w:r>
      <w:proofErr w:type="spellEnd"/>
      <w:r w:rsidRPr="00183814">
        <w:rPr>
          <w:b/>
          <w:sz w:val="24"/>
          <w:szCs w:val="24"/>
        </w:rPr>
        <w:t>., injektionsvæske, opløsning</w:t>
      </w:r>
    </w:p>
    <w:p w:rsidR="00827FBA" w:rsidRPr="00183814" w:rsidRDefault="00827FBA" w:rsidP="00827FBA">
      <w:pPr>
        <w:tabs>
          <w:tab w:val="left" w:pos="8222"/>
        </w:tabs>
        <w:jc w:val="both"/>
        <w:rPr>
          <w:sz w:val="24"/>
          <w:szCs w:val="24"/>
        </w:rPr>
      </w:pPr>
    </w:p>
    <w:p w:rsidR="00827FBA" w:rsidRPr="00183814" w:rsidRDefault="00827FBA" w:rsidP="00827FBA">
      <w:pPr>
        <w:tabs>
          <w:tab w:val="left" w:pos="8222"/>
        </w:tabs>
        <w:ind w:left="851" w:hanging="851"/>
        <w:jc w:val="both"/>
        <w:rPr>
          <w:sz w:val="24"/>
          <w:szCs w:val="24"/>
        </w:rPr>
      </w:pPr>
    </w:p>
    <w:p w:rsidR="00827FBA" w:rsidRPr="00183814" w:rsidRDefault="00827FBA" w:rsidP="00183814">
      <w:pPr>
        <w:tabs>
          <w:tab w:val="left" w:pos="567"/>
          <w:tab w:val="left" w:pos="8222"/>
        </w:tabs>
        <w:ind w:left="851" w:hanging="851"/>
        <w:rPr>
          <w:b/>
          <w:sz w:val="24"/>
          <w:szCs w:val="24"/>
        </w:rPr>
      </w:pPr>
      <w:r w:rsidRPr="00183814">
        <w:rPr>
          <w:b/>
          <w:sz w:val="24"/>
          <w:szCs w:val="24"/>
        </w:rPr>
        <w:t>0.</w:t>
      </w:r>
      <w:r w:rsidRPr="00183814">
        <w:rPr>
          <w:b/>
          <w:sz w:val="24"/>
          <w:szCs w:val="24"/>
        </w:rPr>
        <w:tab/>
        <w:t>D.SP.NR.</w:t>
      </w:r>
    </w:p>
    <w:p w:rsidR="00827FBA" w:rsidRPr="00183814" w:rsidRDefault="00827FBA" w:rsidP="00183814">
      <w:pPr>
        <w:tabs>
          <w:tab w:val="left" w:pos="567"/>
          <w:tab w:val="left" w:pos="8222"/>
        </w:tabs>
        <w:ind w:left="851" w:hanging="851"/>
        <w:rPr>
          <w:sz w:val="24"/>
          <w:szCs w:val="24"/>
        </w:rPr>
      </w:pPr>
      <w:r w:rsidRPr="00183814">
        <w:rPr>
          <w:sz w:val="24"/>
          <w:szCs w:val="24"/>
        </w:rPr>
        <w:tab/>
        <w:t>29527</w:t>
      </w:r>
    </w:p>
    <w:p w:rsidR="00827FBA" w:rsidRPr="00183814" w:rsidRDefault="00827FBA" w:rsidP="00827FBA">
      <w:pPr>
        <w:tabs>
          <w:tab w:val="left" w:pos="8222"/>
        </w:tabs>
        <w:ind w:left="851" w:hanging="851"/>
        <w:rPr>
          <w:sz w:val="24"/>
          <w:szCs w:val="24"/>
        </w:rPr>
      </w:pPr>
    </w:p>
    <w:p w:rsidR="00183814" w:rsidRPr="00183814" w:rsidRDefault="00827FBA" w:rsidP="00183814">
      <w:pPr>
        <w:pStyle w:val="Style1"/>
        <w:rPr>
          <w:sz w:val="24"/>
          <w:szCs w:val="24"/>
        </w:rPr>
      </w:pPr>
      <w:r w:rsidRPr="00183814">
        <w:rPr>
          <w:sz w:val="24"/>
          <w:szCs w:val="24"/>
        </w:rPr>
        <w:t>1.</w:t>
      </w:r>
      <w:r w:rsidRPr="00183814">
        <w:rPr>
          <w:sz w:val="24"/>
          <w:szCs w:val="24"/>
        </w:rPr>
        <w:tab/>
      </w:r>
      <w:r w:rsidR="00183814" w:rsidRPr="00183814">
        <w:rPr>
          <w:sz w:val="24"/>
          <w:szCs w:val="24"/>
        </w:rPr>
        <w:t>VETERINÆRLÆGEMIDLETS NAVN</w:t>
      </w:r>
    </w:p>
    <w:p w:rsidR="00183814" w:rsidRPr="00183814" w:rsidRDefault="00183814" w:rsidP="00183814">
      <w:pPr>
        <w:rPr>
          <w:sz w:val="24"/>
          <w:szCs w:val="24"/>
        </w:rPr>
      </w:pPr>
    </w:p>
    <w:p w:rsidR="00183814" w:rsidRPr="00183814" w:rsidRDefault="00183814" w:rsidP="00183814">
      <w:pPr>
        <w:ind w:left="567"/>
        <w:rPr>
          <w:sz w:val="24"/>
          <w:szCs w:val="24"/>
        </w:rPr>
      </w:pPr>
      <w:proofErr w:type="spellStart"/>
      <w:r w:rsidRPr="00183814">
        <w:rPr>
          <w:sz w:val="24"/>
          <w:szCs w:val="24"/>
        </w:rPr>
        <w:t>Vetmedin</w:t>
      </w:r>
      <w:proofErr w:type="spellEnd"/>
      <w:r w:rsidRPr="00183814">
        <w:rPr>
          <w:sz w:val="24"/>
          <w:szCs w:val="24"/>
        </w:rPr>
        <w:t xml:space="preserve"> </w:t>
      </w:r>
      <w:proofErr w:type="spellStart"/>
      <w:r w:rsidRPr="00183814">
        <w:rPr>
          <w:sz w:val="24"/>
          <w:szCs w:val="24"/>
        </w:rPr>
        <w:t>vet</w:t>
      </w:r>
      <w:proofErr w:type="spellEnd"/>
      <w:r w:rsidRPr="00183814">
        <w:rPr>
          <w:sz w:val="24"/>
          <w:szCs w:val="24"/>
        </w:rPr>
        <w:t>.</w:t>
      </w:r>
    </w:p>
    <w:p w:rsidR="00183814" w:rsidRPr="00183814" w:rsidRDefault="00183814" w:rsidP="00183814">
      <w:pPr>
        <w:ind w:left="567"/>
        <w:rPr>
          <w:sz w:val="24"/>
          <w:szCs w:val="24"/>
        </w:rPr>
      </w:pPr>
    </w:p>
    <w:p w:rsidR="00183814" w:rsidRPr="00183814" w:rsidRDefault="00183814" w:rsidP="00183814">
      <w:pPr>
        <w:ind w:left="567"/>
        <w:rPr>
          <w:sz w:val="24"/>
          <w:szCs w:val="24"/>
        </w:rPr>
      </w:pPr>
      <w:r w:rsidRPr="00183814">
        <w:rPr>
          <w:sz w:val="24"/>
          <w:szCs w:val="24"/>
        </w:rPr>
        <w:t>Lægemiddelform: Injektionsvæske, opløsning</w:t>
      </w:r>
    </w:p>
    <w:p w:rsidR="00183814" w:rsidRPr="00183814" w:rsidRDefault="00183814" w:rsidP="00183814">
      <w:pPr>
        <w:ind w:left="567"/>
        <w:rPr>
          <w:sz w:val="24"/>
          <w:szCs w:val="24"/>
        </w:rPr>
      </w:pPr>
      <w:r w:rsidRPr="00183814">
        <w:rPr>
          <w:sz w:val="24"/>
          <w:szCs w:val="24"/>
        </w:rPr>
        <w:t>Styrke: 0,75 mg/ml</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2.</w:t>
      </w:r>
      <w:r w:rsidRPr="00183814">
        <w:rPr>
          <w:sz w:val="24"/>
          <w:szCs w:val="24"/>
        </w:rPr>
        <w:tab/>
        <w:t>KVALITATIV OG KVANTITATIV SAMMENSÆTNING</w:t>
      </w:r>
    </w:p>
    <w:p w:rsidR="00183814" w:rsidRPr="00183814" w:rsidRDefault="00183814" w:rsidP="00183814">
      <w:pPr>
        <w:rPr>
          <w:sz w:val="24"/>
          <w:szCs w:val="24"/>
        </w:rPr>
      </w:pPr>
    </w:p>
    <w:p w:rsidR="00183814" w:rsidRPr="00183814" w:rsidRDefault="00183814" w:rsidP="00183814">
      <w:pPr>
        <w:ind w:left="567"/>
        <w:rPr>
          <w:bCs/>
          <w:sz w:val="24"/>
          <w:szCs w:val="24"/>
        </w:rPr>
      </w:pPr>
      <w:r w:rsidRPr="00183814">
        <w:rPr>
          <w:bCs/>
          <w:sz w:val="24"/>
          <w:szCs w:val="24"/>
        </w:rPr>
        <w:t>Hver ml indeholder:</w:t>
      </w:r>
    </w:p>
    <w:p w:rsidR="00183814" w:rsidRPr="00183814" w:rsidRDefault="00183814" w:rsidP="00183814">
      <w:pPr>
        <w:ind w:left="567"/>
        <w:rPr>
          <w:b/>
          <w:sz w:val="24"/>
          <w:szCs w:val="24"/>
        </w:rPr>
      </w:pPr>
    </w:p>
    <w:p w:rsidR="00183814" w:rsidRPr="00183814" w:rsidRDefault="00183814" w:rsidP="00183814">
      <w:pPr>
        <w:ind w:left="567"/>
        <w:rPr>
          <w:b/>
          <w:sz w:val="24"/>
          <w:szCs w:val="24"/>
        </w:rPr>
      </w:pPr>
      <w:r w:rsidRPr="00183814">
        <w:rPr>
          <w:b/>
          <w:sz w:val="24"/>
          <w:szCs w:val="24"/>
        </w:rPr>
        <w:t>Aktivt stof:</w:t>
      </w:r>
    </w:p>
    <w:p w:rsidR="00183814" w:rsidRPr="00183814" w:rsidRDefault="00183814" w:rsidP="00183814">
      <w:pPr>
        <w:ind w:left="567"/>
        <w:rPr>
          <w:b/>
          <w:sz w:val="24"/>
          <w:szCs w:val="24"/>
        </w:rPr>
      </w:pPr>
      <w:proofErr w:type="spellStart"/>
      <w:r w:rsidRPr="00183814">
        <w:rPr>
          <w:sz w:val="24"/>
          <w:szCs w:val="24"/>
        </w:rPr>
        <w:t>Pimobendan</w:t>
      </w:r>
      <w:proofErr w:type="spellEnd"/>
      <w:r w:rsidRPr="00183814">
        <w:rPr>
          <w:sz w:val="24"/>
          <w:szCs w:val="24"/>
        </w:rPr>
        <w:tab/>
      </w:r>
      <w:r w:rsidRPr="00183814">
        <w:rPr>
          <w:sz w:val="24"/>
          <w:szCs w:val="24"/>
        </w:rPr>
        <w:tab/>
        <w:t>0,75 mg</w:t>
      </w:r>
    </w:p>
    <w:p w:rsidR="00183814" w:rsidRPr="00183814" w:rsidRDefault="00183814" w:rsidP="00183814">
      <w:pPr>
        <w:ind w:left="567"/>
        <w:rPr>
          <w:b/>
          <w:sz w:val="24"/>
          <w:szCs w:val="24"/>
        </w:rPr>
      </w:pPr>
    </w:p>
    <w:p w:rsidR="00183814" w:rsidRPr="00183814" w:rsidRDefault="00183814" w:rsidP="00183814">
      <w:pPr>
        <w:ind w:left="567"/>
        <w:rPr>
          <w:sz w:val="24"/>
          <w:szCs w:val="24"/>
        </w:rPr>
      </w:pPr>
      <w:r w:rsidRPr="00183814">
        <w:rPr>
          <w:b/>
          <w:sz w:val="24"/>
          <w:szCs w:val="24"/>
        </w:rPr>
        <w:t>Hjælpestoffer:</w:t>
      </w:r>
    </w:p>
    <w:p w:rsidR="00183814" w:rsidRPr="00183814" w:rsidRDefault="00183814" w:rsidP="00183814">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183814" w:rsidRPr="00183814" w:rsidTr="00183814">
        <w:tc>
          <w:tcPr>
            <w:tcW w:w="8926" w:type="dxa"/>
            <w:shd w:val="clear" w:color="auto" w:fill="auto"/>
            <w:vAlign w:val="center"/>
          </w:tcPr>
          <w:p w:rsidR="00183814" w:rsidRPr="00183814" w:rsidRDefault="00183814" w:rsidP="00E306C2">
            <w:pPr>
              <w:spacing w:before="60" w:after="60"/>
              <w:rPr>
                <w:b/>
                <w:bCs/>
                <w:iCs/>
                <w:sz w:val="24"/>
                <w:szCs w:val="24"/>
              </w:rPr>
            </w:pPr>
            <w:r w:rsidRPr="00183814">
              <w:rPr>
                <w:b/>
                <w:bCs/>
                <w:iCs/>
                <w:sz w:val="24"/>
                <w:szCs w:val="24"/>
              </w:rPr>
              <w:t>Kvalitativ sammensætning af hjælpestoffer og andre bestanddele</w:t>
            </w:r>
          </w:p>
        </w:tc>
      </w:tr>
      <w:tr w:rsidR="00183814" w:rsidRPr="00183814" w:rsidTr="00183814">
        <w:tc>
          <w:tcPr>
            <w:tcW w:w="8926" w:type="dxa"/>
            <w:shd w:val="clear" w:color="auto" w:fill="auto"/>
            <w:vAlign w:val="center"/>
          </w:tcPr>
          <w:p w:rsidR="00183814" w:rsidRPr="00183814" w:rsidRDefault="00183814" w:rsidP="00E306C2">
            <w:pPr>
              <w:spacing w:before="60" w:after="60"/>
              <w:ind w:left="567" w:hanging="567"/>
              <w:rPr>
                <w:i/>
                <w:sz w:val="24"/>
                <w:szCs w:val="24"/>
              </w:rPr>
            </w:pPr>
            <w:proofErr w:type="spellStart"/>
            <w:r w:rsidRPr="00183814">
              <w:rPr>
                <w:i/>
                <w:sz w:val="24"/>
                <w:szCs w:val="24"/>
              </w:rPr>
              <w:t>Hydroxyprolpylbetadex</w:t>
            </w:r>
            <w:proofErr w:type="spellEnd"/>
          </w:p>
        </w:tc>
      </w:tr>
      <w:tr w:rsidR="00183814" w:rsidRPr="00183814" w:rsidTr="00183814">
        <w:tc>
          <w:tcPr>
            <w:tcW w:w="8926" w:type="dxa"/>
            <w:shd w:val="clear" w:color="auto" w:fill="auto"/>
            <w:vAlign w:val="center"/>
          </w:tcPr>
          <w:p w:rsidR="00183814" w:rsidRPr="00183814" w:rsidRDefault="00183814" w:rsidP="00E306C2">
            <w:pPr>
              <w:spacing w:before="60" w:after="60"/>
              <w:rPr>
                <w:i/>
                <w:sz w:val="24"/>
                <w:szCs w:val="24"/>
              </w:rPr>
            </w:pPr>
            <w:proofErr w:type="spellStart"/>
            <w:r w:rsidRPr="00183814">
              <w:rPr>
                <w:i/>
                <w:sz w:val="24"/>
                <w:szCs w:val="24"/>
              </w:rPr>
              <w:t>Dinatriumhydrogenphosphatdodecahydrat</w:t>
            </w:r>
            <w:proofErr w:type="spellEnd"/>
          </w:p>
        </w:tc>
      </w:tr>
      <w:tr w:rsidR="00183814" w:rsidRPr="00183814" w:rsidTr="00183814">
        <w:tc>
          <w:tcPr>
            <w:tcW w:w="8926" w:type="dxa"/>
            <w:shd w:val="clear" w:color="auto" w:fill="auto"/>
            <w:vAlign w:val="center"/>
          </w:tcPr>
          <w:p w:rsidR="00183814" w:rsidRPr="00183814" w:rsidRDefault="00183814" w:rsidP="00E306C2">
            <w:pPr>
              <w:spacing w:before="60" w:after="60"/>
              <w:rPr>
                <w:i/>
                <w:sz w:val="24"/>
                <w:szCs w:val="24"/>
              </w:rPr>
            </w:pPr>
            <w:proofErr w:type="spellStart"/>
            <w:r w:rsidRPr="00183814">
              <w:rPr>
                <w:i/>
                <w:sz w:val="24"/>
                <w:szCs w:val="24"/>
              </w:rPr>
              <w:t>Natriumdihydrogenphosphatdihydrat</w:t>
            </w:r>
            <w:proofErr w:type="spellEnd"/>
          </w:p>
        </w:tc>
      </w:tr>
      <w:tr w:rsidR="00183814" w:rsidRPr="00183814" w:rsidTr="00183814">
        <w:tc>
          <w:tcPr>
            <w:tcW w:w="8926" w:type="dxa"/>
            <w:shd w:val="clear" w:color="auto" w:fill="auto"/>
            <w:vAlign w:val="center"/>
          </w:tcPr>
          <w:p w:rsidR="00183814" w:rsidRPr="00183814" w:rsidRDefault="00183814" w:rsidP="00E306C2">
            <w:pPr>
              <w:spacing w:before="60" w:after="60"/>
              <w:rPr>
                <w:i/>
                <w:sz w:val="24"/>
                <w:szCs w:val="24"/>
              </w:rPr>
            </w:pPr>
            <w:r w:rsidRPr="00183814">
              <w:rPr>
                <w:i/>
                <w:sz w:val="24"/>
                <w:szCs w:val="24"/>
              </w:rPr>
              <w:t>Natriumhydroxid (til pH justering)</w:t>
            </w:r>
          </w:p>
        </w:tc>
      </w:tr>
      <w:tr w:rsidR="00183814" w:rsidRPr="00183814" w:rsidTr="00183814">
        <w:tc>
          <w:tcPr>
            <w:tcW w:w="8926" w:type="dxa"/>
            <w:shd w:val="clear" w:color="auto" w:fill="auto"/>
            <w:vAlign w:val="center"/>
          </w:tcPr>
          <w:p w:rsidR="00183814" w:rsidRPr="00183814" w:rsidRDefault="00183814" w:rsidP="00E306C2">
            <w:pPr>
              <w:spacing w:before="60" w:after="60"/>
              <w:ind w:left="567" w:hanging="567"/>
              <w:rPr>
                <w:b/>
                <w:bCs/>
                <w:i/>
                <w:sz w:val="24"/>
                <w:szCs w:val="24"/>
              </w:rPr>
            </w:pPr>
            <w:r w:rsidRPr="00183814">
              <w:rPr>
                <w:i/>
                <w:sz w:val="24"/>
                <w:szCs w:val="24"/>
              </w:rPr>
              <w:t>Saltsyre (til pH justering)</w:t>
            </w:r>
          </w:p>
        </w:tc>
      </w:tr>
      <w:tr w:rsidR="00183814" w:rsidRPr="00183814" w:rsidTr="00183814">
        <w:tc>
          <w:tcPr>
            <w:tcW w:w="8926" w:type="dxa"/>
            <w:shd w:val="clear" w:color="auto" w:fill="auto"/>
            <w:vAlign w:val="center"/>
          </w:tcPr>
          <w:p w:rsidR="00183814" w:rsidRPr="00183814" w:rsidRDefault="00183814" w:rsidP="00E306C2">
            <w:pPr>
              <w:spacing w:before="60" w:after="60"/>
              <w:rPr>
                <w:i/>
                <w:sz w:val="24"/>
                <w:szCs w:val="24"/>
              </w:rPr>
            </w:pPr>
            <w:r w:rsidRPr="00183814">
              <w:rPr>
                <w:i/>
                <w:sz w:val="24"/>
                <w:szCs w:val="24"/>
              </w:rPr>
              <w:t>Vand til injektionsvæsker</w:t>
            </w:r>
          </w:p>
        </w:tc>
      </w:tr>
    </w:tbl>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Injektionsvæske, opløsning.</w:t>
      </w:r>
    </w:p>
    <w:p w:rsidR="00183814" w:rsidRPr="00183814" w:rsidRDefault="00183814" w:rsidP="00183814">
      <w:pPr>
        <w:ind w:left="567"/>
        <w:rPr>
          <w:sz w:val="24"/>
          <w:szCs w:val="24"/>
        </w:rPr>
      </w:pPr>
      <w:r w:rsidRPr="00183814">
        <w:rPr>
          <w:sz w:val="24"/>
          <w:szCs w:val="24"/>
        </w:rPr>
        <w:t>En klar farveløs opløsning.</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w:t>
      </w:r>
      <w:r w:rsidRPr="00183814">
        <w:rPr>
          <w:sz w:val="24"/>
          <w:szCs w:val="24"/>
        </w:rPr>
        <w:tab/>
        <w:t>KLINISKE OPLYSNINGER</w:t>
      </w:r>
    </w:p>
    <w:p w:rsidR="00183814" w:rsidRPr="00183814" w:rsidRDefault="00183814" w:rsidP="00183814">
      <w:pPr>
        <w:rPr>
          <w:sz w:val="24"/>
          <w:szCs w:val="24"/>
        </w:rPr>
      </w:pPr>
    </w:p>
    <w:p w:rsidR="00183814" w:rsidRPr="00183814" w:rsidRDefault="00183814" w:rsidP="00183814">
      <w:pPr>
        <w:pStyle w:val="Style1"/>
        <w:rPr>
          <w:b w:val="0"/>
          <w:bCs/>
          <w:sz w:val="24"/>
          <w:szCs w:val="24"/>
        </w:rPr>
      </w:pPr>
      <w:r w:rsidRPr="00183814">
        <w:rPr>
          <w:sz w:val="24"/>
          <w:szCs w:val="24"/>
        </w:rPr>
        <w:t>3.1</w:t>
      </w:r>
      <w:r w:rsidRPr="00183814">
        <w:rPr>
          <w:sz w:val="24"/>
          <w:szCs w:val="24"/>
        </w:rPr>
        <w:tab/>
        <w:t>Dyrearter, som lægemidlet er beregnet til</w:t>
      </w:r>
    </w:p>
    <w:p w:rsidR="00183814" w:rsidRPr="00183814" w:rsidRDefault="00183814" w:rsidP="00183814">
      <w:pPr>
        <w:pStyle w:val="Style1"/>
        <w:rPr>
          <w:b w:val="0"/>
          <w:bCs/>
          <w:sz w:val="24"/>
          <w:szCs w:val="24"/>
        </w:rPr>
      </w:pPr>
    </w:p>
    <w:p w:rsidR="00183814" w:rsidRPr="00183814" w:rsidRDefault="00183814" w:rsidP="00183814">
      <w:pPr>
        <w:pStyle w:val="Style1"/>
        <w:rPr>
          <w:b w:val="0"/>
          <w:bCs/>
          <w:sz w:val="24"/>
          <w:szCs w:val="24"/>
        </w:rPr>
      </w:pPr>
      <w:r w:rsidRPr="00183814">
        <w:rPr>
          <w:b w:val="0"/>
          <w:bCs/>
          <w:sz w:val="24"/>
          <w:szCs w:val="24"/>
        </w:rPr>
        <w:tab/>
        <w:t>Hund.</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3.2</w:t>
      </w:r>
      <w:r w:rsidRPr="00183814">
        <w:rPr>
          <w:sz w:val="24"/>
          <w:szCs w:val="24"/>
        </w:rPr>
        <w:tab/>
        <w:t>Terapeutiske indikationer for hver dyreart, som lægemidlet er beregnet til</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 xml:space="preserve">Indledende behandling af </w:t>
      </w:r>
      <w:proofErr w:type="spellStart"/>
      <w:r w:rsidRPr="00183814">
        <w:rPr>
          <w:sz w:val="24"/>
          <w:szCs w:val="24"/>
        </w:rPr>
        <w:t>kongestivt</w:t>
      </w:r>
      <w:proofErr w:type="spellEnd"/>
      <w:r w:rsidRPr="00183814">
        <w:rPr>
          <w:sz w:val="24"/>
          <w:szCs w:val="24"/>
        </w:rPr>
        <w:t xml:space="preserve"> hjertesvigt hos hund forårsaget af </w:t>
      </w:r>
      <w:proofErr w:type="spellStart"/>
      <w:r w:rsidRPr="00183814">
        <w:rPr>
          <w:sz w:val="24"/>
          <w:szCs w:val="24"/>
        </w:rPr>
        <w:t>valvulær</w:t>
      </w:r>
      <w:proofErr w:type="spellEnd"/>
      <w:r w:rsidRPr="00183814">
        <w:rPr>
          <w:sz w:val="24"/>
          <w:szCs w:val="24"/>
        </w:rPr>
        <w:t xml:space="preserve"> insufficiens (</w:t>
      </w:r>
      <w:proofErr w:type="spellStart"/>
      <w:r w:rsidRPr="00183814">
        <w:rPr>
          <w:sz w:val="24"/>
          <w:szCs w:val="24"/>
        </w:rPr>
        <w:t>mitral</w:t>
      </w:r>
      <w:proofErr w:type="spellEnd"/>
      <w:r w:rsidRPr="00183814">
        <w:rPr>
          <w:sz w:val="24"/>
          <w:szCs w:val="24"/>
        </w:rPr>
        <w:t xml:space="preserve">- og/eller </w:t>
      </w:r>
      <w:proofErr w:type="spellStart"/>
      <w:r w:rsidRPr="00183814">
        <w:rPr>
          <w:sz w:val="24"/>
          <w:szCs w:val="24"/>
        </w:rPr>
        <w:t>trikuspidal-regurgitation</w:t>
      </w:r>
      <w:proofErr w:type="spellEnd"/>
      <w:r w:rsidRPr="00183814">
        <w:rPr>
          <w:sz w:val="24"/>
          <w:szCs w:val="24"/>
        </w:rPr>
        <w:t xml:space="preserve">) eller </w:t>
      </w:r>
      <w:proofErr w:type="spellStart"/>
      <w:r w:rsidRPr="00183814">
        <w:rPr>
          <w:sz w:val="24"/>
          <w:szCs w:val="24"/>
        </w:rPr>
        <w:t>dilateret</w:t>
      </w:r>
      <w:proofErr w:type="spellEnd"/>
      <w:r w:rsidRPr="00183814">
        <w:rPr>
          <w:sz w:val="24"/>
          <w:szCs w:val="24"/>
        </w:rPr>
        <w:t xml:space="preserve"> </w:t>
      </w:r>
      <w:proofErr w:type="spellStart"/>
      <w:r w:rsidRPr="00183814">
        <w:rPr>
          <w:sz w:val="24"/>
          <w:szCs w:val="24"/>
        </w:rPr>
        <w:t>kardiomyopati</w:t>
      </w:r>
      <w:proofErr w:type="spellEnd"/>
      <w:r w:rsidRPr="00183814">
        <w:rPr>
          <w:sz w:val="24"/>
          <w:szCs w:val="24"/>
        </w:rPr>
        <w:t>.</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3.3</w:t>
      </w:r>
      <w:r w:rsidRPr="00183814">
        <w:rPr>
          <w:sz w:val="24"/>
          <w:szCs w:val="24"/>
        </w:rPr>
        <w:tab/>
        <w:t>Kontraindikationer</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Må ikke anvendes i tilfælde af overfølsomhed over for det aktive stof, eller over for et eller flere af hjælpestofferne.</w:t>
      </w:r>
    </w:p>
    <w:p w:rsidR="00183814" w:rsidRPr="00183814" w:rsidRDefault="00183814" w:rsidP="00183814">
      <w:pPr>
        <w:ind w:left="567"/>
        <w:rPr>
          <w:sz w:val="24"/>
          <w:szCs w:val="24"/>
        </w:rPr>
      </w:pPr>
      <w:r w:rsidRPr="00183814">
        <w:rPr>
          <w:sz w:val="24"/>
          <w:szCs w:val="24"/>
        </w:rPr>
        <w:t xml:space="preserve">Må ikke anvendes ved </w:t>
      </w:r>
      <w:proofErr w:type="spellStart"/>
      <w:r w:rsidRPr="00183814">
        <w:rPr>
          <w:sz w:val="24"/>
          <w:szCs w:val="24"/>
        </w:rPr>
        <w:t>hypertrofisk</w:t>
      </w:r>
      <w:proofErr w:type="spellEnd"/>
      <w:r w:rsidRPr="00183814">
        <w:rPr>
          <w:sz w:val="24"/>
          <w:szCs w:val="24"/>
        </w:rPr>
        <w:t xml:space="preserve"> </w:t>
      </w:r>
      <w:proofErr w:type="spellStart"/>
      <w:r w:rsidRPr="00183814">
        <w:rPr>
          <w:sz w:val="24"/>
          <w:szCs w:val="24"/>
        </w:rPr>
        <w:t>kardiomyopati</w:t>
      </w:r>
      <w:proofErr w:type="spellEnd"/>
      <w:r w:rsidRPr="00183814">
        <w:rPr>
          <w:sz w:val="24"/>
          <w:szCs w:val="24"/>
        </w:rPr>
        <w:t xml:space="preserve"> eller kliniske tilstande, hvor en forøgelse af minutvolumen umuliggøres af funktionelle eller anatomiske årsager (f.eks. aorta stenose).</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3.4</w:t>
      </w:r>
      <w:r w:rsidRPr="00183814">
        <w:rPr>
          <w:sz w:val="24"/>
          <w:szCs w:val="24"/>
        </w:rPr>
        <w:tab/>
        <w:t>Særlige advarsler</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Ingen.</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3.5</w:t>
      </w:r>
      <w:r w:rsidRPr="00183814">
        <w:rPr>
          <w:sz w:val="24"/>
          <w:szCs w:val="24"/>
        </w:rPr>
        <w:tab/>
        <w:t>Særlige forholdsregler vedrørende brugen</w:t>
      </w:r>
    </w:p>
    <w:p w:rsidR="00183814" w:rsidRPr="00183814" w:rsidRDefault="00183814" w:rsidP="00183814">
      <w:pPr>
        <w:rPr>
          <w:sz w:val="24"/>
          <w:szCs w:val="24"/>
        </w:rPr>
      </w:pPr>
    </w:p>
    <w:p w:rsidR="00183814" w:rsidRPr="00183814" w:rsidRDefault="00183814" w:rsidP="00183814">
      <w:pPr>
        <w:ind w:left="567"/>
        <w:rPr>
          <w:sz w:val="24"/>
          <w:szCs w:val="24"/>
          <w:u w:val="single"/>
        </w:rPr>
      </w:pPr>
      <w:r w:rsidRPr="00183814">
        <w:rPr>
          <w:sz w:val="24"/>
          <w:szCs w:val="24"/>
          <w:u w:val="single"/>
        </w:rPr>
        <w:t>Særlige forholdsregler vedrørende sikker brug hos de dyrearter, som lægemidlet er beregnet til:</w:t>
      </w:r>
    </w:p>
    <w:p w:rsidR="00183814" w:rsidRPr="00183814" w:rsidRDefault="00183814" w:rsidP="00183814">
      <w:pPr>
        <w:ind w:left="567"/>
        <w:rPr>
          <w:sz w:val="24"/>
          <w:szCs w:val="24"/>
        </w:rPr>
      </w:pPr>
      <w:r w:rsidRPr="00183814">
        <w:rPr>
          <w:sz w:val="24"/>
          <w:szCs w:val="24"/>
        </w:rPr>
        <w:t xml:space="preserve">I tilfælde af utilsigtet subkutan injektion kan en forbigående hævelse og milde </w:t>
      </w:r>
      <w:proofErr w:type="spellStart"/>
      <w:r w:rsidRPr="00183814">
        <w:rPr>
          <w:sz w:val="24"/>
          <w:szCs w:val="24"/>
        </w:rPr>
        <w:t>resorptive</w:t>
      </w:r>
      <w:proofErr w:type="spellEnd"/>
      <w:r w:rsidRPr="00183814">
        <w:rPr>
          <w:sz w:val="24"/>
          <w:szCs w:val="24"/>
        </w:rPr>
        <w:t xml:space="preserve"> inflammatoriske reaktioner ses ved eller under injektionsstedet.</w:t>
      </w:r>
    </w:p>
    <w:p w:rsidR="00183814" w:rsidRPr="00183814" w:rsidRDefault="00183814" w:rsidP="00183814">
      <w:pPr>
        <w:ind w:left="567"/>
        <w:rPr>
          <w:sz w:val="24"/>
          <w:szCs w:val="24"/>
        </w:rPr>
      </w:pPr>
      <w:r w:rsidRPr="00183814">
        <w:rPr>
          <w:sz w:val="24"/>
          <w:szCs w:val="24"/>
        </w:rPr>
        <w:t>Kun til enkelt administration.</w:t>
      </w:r>
    </w:p>
    <w:p w:rsidR="00183814" w:rsidRPr="00183814" w:rsidRDefault="00183814" w:rsidP="00183814">
      <w:pPr>
        <w:ind w:left="567"/>
        <w:rPr>
          <w:sz w:val="24"/>
          <w:szCs w:val="24"/>
        </w:rPr>
      </w:pPr>
    </w:p>
    <w:p w:rsidR="00183814" w:rsidRPr="00183814" w:rsidRDefault="00183814" w:rsidP="00183814">
      <w:pPr>
        <w:ind w:left="567"/>
        <w:rPr>
          <w:sz w:val="24"/>
          <w:szCs w:val="24"/>
        </w:rPr>
      </w:pPr>
      <w:r w:rsidRPr="00183814">
        <w:rPr>
          <w:sz w:val="24"/>
          <w:szCs w:val="24"/>
        </w:rPr>
        <w:t>Veterinærlægemidlet bør anvendes til indledende behandling af kongestiv hjerteinsufficiens hos hund efter en risikovurdering af den ansvarlige dyrlæge, idet der tages hensyn til hundens generelle sundhedstilstand. Før behandling bør der stilles en diagnose ved hjælp af en omfattende klinisk og kardiologisk undersøgelse, som bør omfatte ekkokardiografi eller røntgenundersøgelse hvis relevant.</w:t>
      </w:r>
    </w:p>
    <w:p w:rsidR="00183814" w:rsidRPr="00183814" w:rsidRDefault="00183814" w:rsidP="00183814">
      <w:pPr>
        <w:ind w:left="567"/>
        <w:rPr>
          <w:sz w:val="24"/>
          <w:szCs w:val="24"/>
        </w:rPr>
      </w:pPr>
    </w:p>
    <w:p w:rsidR="00183814" w:rsidRPr="00183814" w:rsidRDefault="00183814" w:rsidP="00183814">
      <w:pPr>
        <w:ind w:left="567"/>
        <w:rPr>
          <w:sz w:val="24"/>
          <w:szCs w:val="24"/>
          <w:u w:val="single"/>
        </w:rPr>
      </w:pPr>
      <w:r w:rsidRPr="00183814">
        <w:rPr>
          <w:sz w:val="24"/>
          <w:szCs w:val="24"/>
          <w:u w:val="single"/>
        </w:rPr>
        <w:t>Særlige forholdsregler for personer, der administrerer veterinærlægemidlet til dyr:</w:t>
      </w:r>
    </w:p>
    <w:p w:rsidR="00183814" w:rsidRPr="00183814" w:rsidRDefault="00183814" w:rsidP="00183814">
      <w:pPr>
        <w:ind w:left="567"/>
        <w:rPr>
          <w:sz w:val="24"/>
          <w:szCs w:val="24"/>
        </w:rPr>
      </w:pPr>
      <w:r w:rsidRPr="00183814">
        <w:rPr>
          <w:sz w:val="24"/>
          <w:szCs w:val="24"/>
        </w:rPr>
        <w:t>I tilfælde af utilsigtet selvinjektion ved hændeligt uheld skal der straks søges lægehjælp, og indlægssedlen eller etiketten bør vises til lægen.</w:t>
      </w:r>
    </w:p>
    <w:p w:rsidR="00183814" w:rsidRPr="00183814" w:rsidRDefault="00183814" w:rsidP="00183814">
      <w:pPr>
        <w:ind w:left="567"/>
        <w:rPr>
          <w:sz w:val="24"/>
          <w:szCs w:val="24"/>
        </w:rPr>
      </w:pPr>
      <w:r w:rsidRPr="00183814">
        <w:rPr>
          <w:sz w:val="24"/>
          <w:szCs w:val="24"/>
        </w:rPr>
        <w:t>Vask hænder efter brug.</w:t>
      </w:r>
    </w:p>
    <w:p w:rsidR="00183814" w:rsidRPr="00183814" w:rsidRDefault="00183814" w:rsidP="00183814">
      <w:pPr>
        <w:ind w:left="567"/>
        <w:rPr>
          <w:sz w:val="24"/>
          <w:szCs w:val="24"/>
        </w:rPr>
      </w:pPr>
    </w:p>
    <w:p w:rsidR="00183814" w:rsidRPr="00183814" w:rsidRDefault="00183814" w:rsidP="00183814">
      <w:pPr>
        <w:ind w:left="567"/>
        <w:rPr>
          <w:sz w:val="24"/>
          <w:szCs w:val="24"/>
          <w:u w:val="single"/>
        </w:rPr>
      </w:pPr>
      <w:r w:rsidRPr="00183814">
        <w:rPr>
          <w:sz w:val="24"/>
          <w:szCs w:val="24"/>
          <w:u w:val="single"/>
        </w:rPr>
        <w:t>Særlige forholdsregler vedrørende beskyttelse af miljøet:</w:t>
      </w:r>
    </w:p>
    <w:p w:rsidR="00183814" w:rsidRPr="00183814" w:rsidRDefault="00183814" w:rsidP="00183814">
      <w:pPr>
        <w:ind w:left="567"/>
        <w:rPr>
          <w:sz w:val="24"/>
          <w:szCs w:val="24"/>
        </w:rPr>
      </w:pPr>
      <w:r w:rsidRPr="00183814">
        <w:rPr>
          <w:sz w:val="24"/>
          <w:szCs w:val="24"/>
        </w:rPr>
        <w:t>Ikke relevant.</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3.6</w:t>
      </w:r>
      <w:r w:rsidRPr="00183814">
        <w:rPr>
          <w:sz w:val="24"/>
          <w:szCs w:val="24"/>
        </w:rPr>
        <w:tab/>
        <w:t>Bivirkninger</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Hund:</w:t>
      </w:r>
    </w:p>
    <w:p w:rsidR="00183814" w:rsidRPr="00183814" w:rsidRDefault="00183814" w:rsidP="00183814">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183814" w:rsidRPr="00183814" w:rsidTr="00183814">
        <w:tc>
          <w:tcPr>
            <w:tcW w:w="2266" w:type="pct"/>
          </w:tcPr>
          <w:p w:rsidR="00183814" w:rsidRPr="00183814" w:rsidRDefault="00183814" w:rsidP="00E306C2">
            <w:pPr>
              <w:spacing w:before="60" w:after="60"/>
              <w:rPr>
                <w:sz w:val="24"/>
                <w:szCs w:val="24"/>
              </w:rPr>
            </w:pPr>
            <w:r w:rsidRPr="00183814">
              <w:rPr>
                <w:sz w:val="24"/>
                <w:szCs w:val="24"/>
              </w:rPr>
              <w:t>Sjælden</w:t>
            </w:r>
          </w:p>
          <w:p w:rsidR="00183814" w:rsidRPr="00183814" w:rsidRDefault="00183814" w:rsidP="00E306C2">
            <w:pPr>
              <w:spacing w:before="60" w:after="60"/>
              <w:rPr>
                <w:sz w:val="24"/>
                <w:szCs w:val="24"/>
              </w:rPr>
            </w:pPr>
            <w:r w:rsidRPr="00183814">
              <w:rPr>
                <w:sz w:val="24"/>
                <w:szCs w:val="24"/>
              </w:rPr>
              <w:t>(1 til 10 dyr ud af 10.000 behandlede dyr):</w:t>
            </w:r>
          </w:p>
        </w:tc>
        <w:tc>
          <w:tcPr>
            <w:tcW w:w="2734" w:type="pct"/>
          </w:tcPr>
          <w:p w:rsidR="00183814" w:rsidRPr="00183814" w:rsidRDefault="00183814" w:rsidP="00183814">
            <w:pPr>
              <w:pStyle w:val="Listeafsnit"/>
              <w:numPr>
                <w:ilvl w:val="0"/>
                <w:numId w:val="5"/>
              </w:numPr>
              <w:tabs>
                <w:tab w:val="clear" w:pos="567"/>
              </w:tabs>
              <w:spacing w:before="60" w:after="60"/>
              <w:ind w:left="310"/>
              <w:rPr>
                <w:iCs/>
                <w:sz w:val="24"/>
                <w:szCs w:val="24"/>
              </w:rPr>
            </w:pPr>
            <w:r w:rsidRPr="00183814">
              <w:rPr>
                <w:sz w:val="24"/>
                <w:szCs w:val="24"/>
              </w:rPr>
              <w:t>Opkastning, diarré</w:t>
            </w:r>
            <w:r w:rsidRPr="00183814">
              <w:rPr>
                <w:sz w:val="24"/>
                <w:szCs w:val="24"/>
                <w:vertAlign w:val="superscript"/>
              </w:rPr>
              <w:t>1</w:t>
            </w:r>
          </w:p>
          <w:p w:rsidR="00183814" w:rsidRPr="00183814" w:rsidRDefault="00183814" w:rsidP="00183814">
            <w:pPr>
              <w:pStyle w:val="Listeafsnit"/>
              <w:numPr>
                <w:ilvl w:val="0"/>
                <w:numId w:val="5"/>
              </w:numPr>
              <w:tabs>
                <w:tab w:val="clear" w:pos="567"/>
              </w:tabs>
              <w:spacing w:before="60" w:after="60"/>
              <w:ind w:left="310"/>
              <w:rPr>
                <w:iCs/>
                <w:sz w:val="24"/>
                <w:szCs w:val="24"/>
              </w:rPr>
            </w:pPr>
            <w:r w:rsidRPr="00183814">
              <w:rPr>
                <w:sz w:val="24"/>
                <w:szCs w:val="24"/>
              </w:rPr>
              <w:t>Anoreksi</w:t>
            </w:r>
            <w:r w:rsidRPr="00183814">
              <w:rPr>
                <w:sz w:val="24"/>
                <w:szCs w:val="24"/>
                <w:vertAlign w:val="superscript"/>
              </w:rPr>
              <w:t>1</w:t>
            </w:r>
            <w:r w:rsidRPr="00183814">
              <w:rPr>
                <w:sz w:val="24"/>
                <w:szCs w:val="24"/>
              </w:rPr>
              <w:t>, letargi</w:t>
            </w:r>
            <w:r w:rsidRPr="00183814">
              <w:rPr>
                <w:sz w:val="24"/>
                <w:szCs w:val="24"/>
                <w:vertAlign w:val="superscript"/>
              </w:rPr>
              <w:t>1</w:t>
            </w:r>
          </w:p>
          <w:p w:rsidR="00183814" w:rsidRPr="00183814" w:rsidRDefault="00183814" w:rsidP="00183814">
            <w:pPr>
              <w:pStyle w:val="Listeafsnit"/>
              <w:numPr>
                <w:ilvl w:val="0"/>
                <w:numId w:val="5"/>
              </w:numPr>
              <w:tabs>
                <w:tab w:val="clear" w:pos="567"/>
              </w:tabs>
              <w:spacing w:before="60" w:after="60"/>
              <w:ind w:left="310"/>
              <w:rPr>
                <w:iCs/>
                <w:sz w:val="24"/>
                <w:szCs w:val="24"/>
              </w:rPr>
            </w:pPr>
            <w:r w:rsidRPr="00183814">
              <w:rPr>
                <w:sz w:val="24"/>
                <w:szCs w:val="24"/>
              </w:rPr>
              <w:t>Øget hjertefrekvens</w:t>
            </w:r>
            <w:r w:rsidRPr="00183814">
              <w:rPr>
                <w:sz w:val="24"/>
                <w:szCs w:val="24"/>
                <w:vertAlign w:val="superscript"/>
              </w:rPr>
              <w:t>2</w:t>
            </w:r>
          </w:p>
        </w:tc>
      </w:tr>
    </w:tbl>
    <w:p w:rsidR="00183814" w:rsidRPr="00183814" w:rsidRDefault="00183814" w:rsidP="00183814">
      <w:pPr>
        <w:ind w:firstLine="567"/>
        <w:rPr>
          <w:sz w:val="24"/>
          <w:szCs w:val="24"/>
        </w:rPr>
      </w:pPr>
      <w:bookmarkStart w:id="1" w:name="_Hlk144451159"/>
      <w:bookmarkStart w:id="2" w:name="_Hlk143698600"/>
      <w:r w:rsidRPr="00183814">
        <w:rPr>
          <w:sz w:val="24"/>
          <w:szCs w:val="24"/>
          <w:vertAlign w:val="superscript"/>
        </w:rPr>
        <w:lastRenderedPageBreak/>
        <w:t>1</w:t>
      </w:r>
      <w:r w:rsidRPr="00183814">
        <w:rPr>
          <w:sz w:val="24"/>
          <w:szCs w:val="24"/>
        </w:rPr>
        <w:tab/>
        <w:t>Forbigående</w:t>
      </w:r>
    </w:p>
    <w:p w:rsidR="00183814" w:rsidRPr="00183814" w:rsidRDefault="00183814" w:rsidP="00183814">
      <w:pPr>
        <w:ind w:firstLine="567"/>
        <w:rPr>
          <w:sz w:val="24"/>
          <w:szCs w:val="24"/>
        </w:rPr>
      </w:pPr>
      <w:r w:rsidRPr="00183814">
        <w:rPr>
          <w:sz w:val="24"/>
          <w:szCs w:val="24"/>
          <w:vertAlign w:val="superscript"/>
        </w:rPr>
        <w:t>2</w:t>
      </w:r>
      <w:r w:rsidRPr="00183814">
        <w:rPr>
          <w:sz w:val="24"/>
          <w:szCs w:val="24"/>
        </w:rPr>
        <w:tab/>
        <w:t>F</w:t>
      </w:r>
      <w:bookmarkEnd w:id="1"/>
      <w:r w:rsidRPr="00183814">
        <w:rPr>
          <w:sz w:val="24"/>
          <w:szCs w:val="24"/>
        </w:rPr>
        <w:t xml:space="preserve">orårsaget af en moderat positiv </w:t>
      </w:r>
      <w:proofErr w:type="spellStart"/>
      <w:r w:rsidRPr="00183814">
        <w:rPr>
          <w:sz w:val="24"/>
          <w:szCs w:val="24"/>
        </w:rPr>
        <w:t>kronotrop</w:t>
      </w:r>
      <w:proofErr w:type="spellEnd"/>
      <w:r w:rsidRPr="00183814">
        <w:rPr>
          <w:sz w:val="24"/>
          <w:szCs w:val="24"/>
        </w:rPr>
        <w:t xml:space="preserve"> virkning</w:t>
      </w:r>
    </w:p>
    <w:bookmarkEnd w:id="2"/>
    <w:p w:rsidR="00183814" w:rsidRPr="00183814" w:rsidRDefault="00183814" w:rsidP="00183814">
      <w:pPr>
        <w:rPr>
          <w:sz w:val="24"/>
          <w:szCs w:val="24"/>
        </w:rPr>
      </w:pPr>
    </w:p>
    <w:p w:rsidR="00183814" w:rsidRPr="00183814" w:rsidRDefault="00183814" w:rsidP="00183814">
      <w:pPr>
        <w:ind w:left="567"/>
        <w:rPr>
          <w:sz w:val="24"/>
          <w:szCs w:val="24"/>
        </w:rPr>
      </w:pPr>
      <w:bookmarkStart w:id="3" w:name="_Hlk66891708"/>
      <w:r w:rsidRPr="0018381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3"/>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3.7</w:t>
      </w:r>
      <w:r w:rsidRPr="00183814">
        <w:rPr>
          <w:sz w:val="24"/>
          <w:szCs w:val="24"/>
        </w:rPr>
        <w:tab/>
        <w:t>Anvendelse under drægtighed, laktation eller æglægning</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u w:val="single"/>
        </w:rPr>
        <w:t>Drægtighed og diegivning</w:t>
      </w:r>
      <w:r w:rsidRPr="00183814">
        <w:rPr>
          <w:sz w:val="24"/>
          <w:szCs w:val="24"/>
        </w:rPr>
        <w:t>:</w:t>
      </w:r>
    </w:p>
    <w:p w:rsidR="00183814" w:rsidRPr="00183814" w:rsidRDefault="00183814" w:rsidP="00183814">
      <w:pPr>
        <w:ind w:left="567"/>
        <w:rPr>
          <w:sz w:val="24"/>
          <w:szCs w:val="24"/>
        </w:rPr>
      </w:pPr>
      <w:r w:rsidRPr="00183814">
        <w:rPr>
          <w:sz w:val="24"/>
          <w:szCs w:val="24"/>
        </w:rPr>
        <w:t xml:space="preserve">Embryotoksiske virkninger observeredes kun ved </w:t>
      </w:r>
      <w:proofErr w:type="spellStart"/>
      <w:r w:rsidRPr="00183814">
        <w:rPr>
          <w:sz w:val="24"/>
          <w:szCs w:val="24"/>
        </w:rPr>
        <w:t>maternotoksiske</w:t>
      </w:r>
      <w:proofErr w:type="spellEnd"/>
      <w:r w:rsidRPr="00183814">
        <w:rPr>
          <w:sz w:val="24"/>
          <w:szCs w:val="24"/>
        </w:rPr>
        <w:t xml:space="preserve"> doser. I undersøgelser af rotter er det blevet vist, at </w:t>
      </w:r>
      <w:proofErr w:type="spellStart"/>
      <w:r w:rsidRPr="00183814">
        <w:rPr>
          <w:sz w:val="24"/>
          <w:szCs w:val="24"/>
        </w:rPr>
        <w:t>pimobendan</w:t>
      </w:r>
      <w:proofErr w:type="spellEnd"/>
      <w:r w:rsidRPr="00183814">
        <w:rPr>
          <w:sz w:val="24"/>
          <w:szCs w:val="24"/>
        </w:rPr>
        <w:t xml:space="preserve"> udskilles i mælk. Veterinærlægemidlet bør derfor kun gives til drægtige og diegivende tæver, hvis de forventede terapeutiske fordele opvejer de potentielle risici.</w:t>
      </w:r>
    </w:p>
    <w:p w:rsidR="00183814" w:rsidRPr="00183814" w:rsidRDefault="00183814" w:rsidP="00183814">
      <w:pPr>
        <w:ind w:left="567"/>
        <w:rPr>
          <w:sz w:val="24"/>
          <w:szCs w:val="24"/>
        </w:rPr>
      </w:pPr>
    </w:p>
    <w:p w:rsidR="00183814" w:rsidRPr="00183814" w:rsidRDefault="00183814" w:rsidP="00183814">
      <w:pPr>
        <w:ind w:left="567"/>
        <w:rPr>
          <w:sz w:val="24"/>
          <w:szCs w:val="24"/>
        </w:rPr>
      </w:pPr>
      <w:r w:rsidRPr="00183814">
        <w:rPr>
          <w:sz w:val="24"/>
          <w:szCs w:val="24"/>
          <w:u w:val="single"/>
        </w:rPr>
        <w:t>Fertilitet</w:t>
      </w:r>
      <w:r w:rsidRPr="00183814">
        <w:rPr>
          <w:sz w:val="24"/>
          <w:szCs w:val="24"/>
        </w:rPr>
        <w:t>:</w:t>
      </w:r>
    </w:p>
    <w:p w:rsidR="00183814" w:rsidRPr="00183814" w:rsidRDefault="00183814" w:rsidP="00183814">
      <w:pPr>
        <w:ind w:left="567"/>
        <w:rPr>
          <w:sz w:val="24"/>
          <w:szCs w:val="24"/>
        </w:rPr>
      </w:pPr>
      <w:r w:rsidRPr="00183814">
        <w:rPr>
          <w:sz w:val="24"/>
          <w:szCs w:val="24"/>
        </w:rPr>
        <w:t xml:space="preserve">Laboratorieundersøgelser af rotter og kaniner viste </w:t>
      </w:r>
      <w:proofErr w:type="spellStart"/>
      <w:r w:rsidRPr="00183814">
        <w:rPr>
          <w:sz w:val="24"/>
          <w:szCs w:val="24"/>
        </w:rPr>
        <w:t>pimobendan</w:t>
      </w:r>
      <w:proofErr w:type="spellEnd"/>
      <w:r w:rsidRPr="00183814">
        <w:rPr>
          <w:sz w:val="24"/>
          <w:szCs w:val="24"/>
        </w:rPr>
        <w:t xml:space="preserve"> ingen virkning på fertiliteten. </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3.8</w:t>
      </w:r>
      <w:r w:rsidRPr="00183814">
        <w:rPr>
          <w:sz w:val="24"/>
          <w:szCs w:val="24"/>
        </w:rPr>
        <w:tab/>
        <w:t>Interaktion med andre lægemidler og andre former for interaktion</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 xml:space="preserve">I farmakologiske studier sås ingen interaktion mellem </w:t>
      </w:r>
      <w:proofErr w:type="spellStart"/>
      <w:r w:rsidRPr="00183814">
        <w:rPr>
          <w:sz w:val="24"/>
          <w:szCs w:val="24"/>
        </w:rPr>
        <w:t>hjerteglykosidet</w:t>
      </w:r>
      <w:proofErr w:type="spellEnd"/>
      <w:r w:rsidRPr="00183814">
        <w:rPr>
          <w:sz w:val="24"/>
          <w:szCs w:val="24"/>
        </w:rPr>
        <w:t xml:space="preserve"> </w:t>
      </w:r>
      <w:proofErr w:type="spellStart"/>
      <w:r w:rsidRPr="00183814">
        <w:rPr>
          <w:sz w:val="24"/>
          <w:szCs w:val="24"/>
        </w:rPr>
        <w:t>ouabain</w:t>
      </w:r>
      <w:proofErr w:type="spellEnd"/>
      <w:r w:rsidRPr="00183814">
        <w:rPr>
          <w:sz w:val="24"/>
          <w:szCs w:val="24"/>
        </w:rPr>
        <w:t xml:space="preserve"> og </w:t>
      </w:r>
      <w:proofErr w:type="spellStart"/>
      <w:r w:rsidRPr="00183814">
        <w:rPr>
          <w:sz w:val="24"/>
          <w:szCs w:val="24"/>
        </w:rPr>
        <w:t>pimobendan</w:t>
      </w:r>
      <w:proofErr w:type="spellEnd"/>
      <w:r w:rsidRPr="00183814">
        <w:rPr>
          <w:sz w:val="24"/>
          <w:szCs w:val="24"/>
        </w:rPr>
        <w:t xml:space="preserve">. Den </w:t>
      </w:r>
      <w:proofErr w:type="spellStart"/>
      <w:r w:rsidRPr="00183814">
        <w:rPr>
          <w:sz w:val="24"/>
          <w:szCs w:val="24"/>
        </w:rPr>
        <w:t>pimobendaninducerede</w:t>
      </w:r>
      <w:proofErr w:type="spellEnd"/>
      <w:r w:rsidRPr="00183814">
        <w:rPr>
          <w:sz w:val="24"/>
          <w:szCs w:val="24"/>
        </w:rPr>
        <w:t xml:space="preserve"> forbedring af hjertets kontraktionsevne svækkes ved brug af calciumantagonisten </w:t>
      </w:r>
      <w:proofErr w:type="spellStart"/>
      <w:r w:rsidRPr="00183814">
        <w:rPr>
          <w:sz w:val="24"/>
          <w:szCs w:val="24"/>
        </w:rPr>
        <w:t>verapamil</w:t>
      </w:r>
      <w:proofErr w:type="spellEnd"/>
      <w:r w:rsidRPr="00183814">
        <w:rPr>
          <w:sz w:val="24"/>
          <w:szCs w:val="24"/>
        </w:rPr>
        <w:t xml:space="preserve"> og </w:t>
      </w:r>
      <w:r w:rsidRPr="00183814">
        <w:rPr>
          <w:sz w:val="24"/>
          <w:szCs w:val="24"/>
          <w:lang w:val="sv-SE"/>
        </w:rPr>
        <w:t>β</w:t>
      </w:r>
      <w:r w:rsidRPr="00183814">
        <w:rPr>
          <w:sz w:val="24"/>
          <w:szCs w:val="24"/>
        </w:rPr>
        <w:t xml:space="preserve">-antagonisten </w:t>
      </w:r>
      <w:proofErr w:type="spellStart"/>
      <w:r w:rsidRPr="00183814">
        <w:rPr>
          <w:sz w:val="24"/>
          <w:szCs w:val="24"/>
        </w:rPr>
        <w:t>propranolol</w:t>
      </w:r>
      <w:proofErr w:type="spellEnd"/>
      <w:r w:rsidRPr="00183814">
        <w:rPr>
          <w:sz w:val="24"/>
          <w:szCs w:val="24"/>
        </w:rPr>
        <w:t>.</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3.9</w:t>
      </w:r>
      <w:r w:rsidRPr="00183814">
        <w:rPr>
          <w:sz w:val="24"/>
          <w:szCs w:val="24"/>
        </w:rPr>
        <w:tab/>
        <w:t>Administrationsveje og dosering</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Til intravenøs anvendelse (engangsbehandling).</w:t>
      </w:r>
    </w:p>
    <w:p w:rsidR="00183814" w:rsidRPr="00183814" w:rsidRDefault="00183814" w:rsidP="00183814">
      <w:pPr>
        <w:ind w:left="567"/>
        <w:rPr>
          <w:sz w:val="24"/>
          <w:szCs w:val="24"/>
        </w:rPr>
      </w:pPr>
    </w:p>
    <w:p w:rsidR="00183814" w:rsidRPr="00183814" w:rsidRDefault="00183814" w:rsidP="00183814">
      <w:pPr>
        <w:ind w:left="567"/>
        <w:rPr>
          <w:sz w:val="24"/>
          <w:szCs w:val="24"/>
        </w:rPr>
      </w:pPr>
      <w:r w:rsidRPr="00183814">
        <w:rPr>
          <w:sz w:val="24"/>
          <w:szCs w:val="24"/>
        </w:rPr>
        <w:t>For at sikre korrekt dosering bør legemsvægten beregnes så nøjagtigt som muligt.</w:t>
      </w:r>
    </w:p>
    <w:p w:rsidR="00183814" w:rsidRPr="00183814" w:rsidRDefault="00183814" w:rsidP="00183814">
      <w:pPr>
        <w:ind w:left="567"/>
        <w:rPr>
          <w:sz w:val="24"/>
          <w:szCs w:val="24"/>
        </w:rPr>
      </w:pPr>
    </w:p>
    <w:p w:rsidR="00183814" w:rsidRPr="00183814" w:rsidRDefault="00183814" w:rsidP="00183814">
      <w:pPr>
        <w:ind w:left="567"/>
        <w:rPr>
          <w:sz w:val="24"/>
          <w:szCs w:val="24"/>
        </w:rPr>
      </w:pPr>
      <w:r w:rsidRPr="00183814">
        <w:rPr>
          <w:sz w:val="24"/>
          <w:szCs w:val="24"/>
        </w:rPr>
        <w:t xml:space="preserve">Anbefalet dosering er 0,15 mg </w:t>
      </w:r>
      <w:proofErr w:type="spellStart"/>
      <w:r w:rsidRPr="00183814">
        <w:rPr>
          <w:sz w:val="24"/>
          <w:szCs w:val="24"/>
        </w:rPr>
        <w:t>pimobendan</w:t>
      </w:r>
      <w:proofErr w:type="spellEnd"/>
      <w:r w:rsidRPr="00183814">
        <w:rPr>
          <w:sz w:val="24"/>
          <w:szCs w:val="24"/>
        </w:rPr>
        <w:t>/kg legemsvægt (dvs. 2 ml/10 kg legemsvægt).</w:t>
      </w:r>
    </w:p>
    <w:p w:rsidR="00183814" w:rsidRPr="00183814" w:rsidRDefault="00183814" w:rsidP="00183814">
      <w:pPr>
        <w:ind w:left="567"/>
        <w:rPr>
          <w:sz w:val="24"/>
          <w:szCs w:val="24"/>
        </w:rPr>
      </w:pPr>
      <w:r w:rsidRPr="00183814">
        <w:rPr>
          <w:sz w:val="24"/>
          <w:szCs w:val="24"/>
        </w:rPr>
        <w:t xml:space="preserve">Et 5 ml og 10 ml hætteglas kan behandle en hund på op til henholdsvis 25 kg og 50 kg legemsvægt. </w:t>
      </w:r>
    </w:p>
    <w:p w:rsidR="00183814" w:rsidRPr="00183814" w:rsidRDefault="00183814" w:rsidP="00183814">
      <w:pPr>
        <w:ind w:left="567"/>
        <w:rPr>
          <w:sz w:val="24"/>
          <w:szCs w:val="24"/>
        </w:rPr>
      </w:pPr>
      <w:r w:rsidRPr="00183814">
        <w:rPr>
          <w:sz w:val="24"/>
          <w:szCs w:val="24"/>
        </w:rPr>
        <w:t xml:space="preserve">Hvert hætteglas er til engangsbrug. </w:t>
      </w:r>
    </w:p>
    <w:p w:rsidR="00183814" w:rsidRPr="00183814" w:rsidRDefault="00183814" w:rsidP="00183814">
      <w:pPr>
        <w:ind w:left="567"/>
        <w:rPr>
          <w:sz w:val="24"/>
          <w:szCs w:val="24"/>
        </w:rPr>
      </w:pPr>
      <w:proofErr w:type="spellStart"/>
      <w:r w:rsidRPr="00183814">
        <w:rPr>
          <w:sz w:val="24"/>
          <w:szCs w:val="24"/>
        </w:rPr>
        <w:t>Vetmedin</w:t>
      </w:r>
      <w:proofErr w:type="spellEnd"/>
      <w:r w:rsidRPr="00183814">
        <w:rPr>
          <w:sz w:val="24"/>
          <w:szCs w:val="24"/>
        </w:rPr>
        <w:t xml:space="preserve"> </w:t>
      </w:r>
      <w:proofErr w:type="spellStart"/>
      <w:r w:rsidRPr="00183814">
        <w:rPr>
          <w:sz w:val="24"/>
          <w:szCs w:val="24"/>
        </w:rPr>
        <w:t>vet</w:t>
      </w:r>
      <w:proofErr w:type="spellEnd"/>
      <w:r w:rsidRPr="00183814">
        <w:rPr>
          <w:sz w:val="24"/>
          <w:szCs w:val="24"/>
        </w:rPr>
        <w:t xml:space="preserve">. tyggetabletter eller </w:t>
      </w:r>
      <w:proofErr w:type="spellStart"/>
      <w:r w:rsidRPr="00183814">
        <w:rPr>
          <w:sz w:val="24"/>
          <w:szCs w:val="24"/>
        </w:rPr>
        <w:t>Vetmedin</w:t>
      </w:r>
      <w:proofErr w:type="spellEnd"/>
      <w:r w:rsidRPr="00183814">
        <w:rPr>
          <w:sz w:val="24"/>
          <w:szCs w:val="24"/>
        </w:rPr>
        <w:t xml:space="preserve"> </w:t>
      </w:r>
      <w:proofErr w:type="spellStart"/>
      <w:r w:rsidRPr="00183814">
        <w:rPr>
          <w:sz w:val="24"/>
          <w:szCs w:val="24"/>
        </w:rPr>
        <w:t>vet</w:t>
      </w:r>
      <w:proofErr w:type="spellEnd"/>
      <w:r w:rsidRPr="00183814">
        <w:rPr>
          <w:sz w:val="24"/>
          <w:szCs w:val="24"/>
        </w:rPr>
        <w:t>. kapsler til hund kan anvendes til fortsat behandling ved den anbefalede dosis, som påbegyndes 12 timer efter injektionen.</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3.10</w:t>
      </w:r>
      <w:r w:rsidRPr="00183814">
        <w:rPr>
          <w:sz w:val="24"/>
          <w:szCs w:val="24"/>
        </w:rPr>
        <w:tab/>
        <w:t>Symptomer på overdosering (og, hvis relevant, nødforanstaltninger og modgift)</w:t>
      </w:r>
    </w:p>
    <w:p w:rsidR="00183814" w:rsidRPr="00183814" w:rsidRDefault="00183814" w:rsidP="00183814">
      <w:pPr>
        <w:pStyle w:val="Style1"/>
        <w:rPr>
          <w:sz w:val="24"/>
          <w:szCs w:val="24"/>
        </w:rPr>
      </w:pPr>
    </w:p>
    <w:p w:rsidR="00183814" w:rsidRPr="00183814" w:rsidRDefault="00183814" w:rsidP="00183814">
      <w:pPr>
        <w:pStyle w:val="Style1"/>
        <w:tabs>
          <w:tab w:val="left" w:pos="567"/>
        </w:tabs>
        <w:ind w:left="0" w:firstLine="0"/>
        <w:rPr>
          <w:b w:val="0"/>
          <w:bCs/>
          <w:sz w:val="24"/>
          <w:szCs w:val="24"/>
        </w:rPr>
      </w:pPr>
      <w:r w:rsidRPr="00183814">
        <w:rPr>
          <w:b w:val="0"/>
          <w:bCs/>
          <w:sz w:val="24"/>
          <w:szCs w:val="24"/>
        </w:rPr>
        <w:tab/>
        <w:t>I tilfælde af overdosering bør symptomatisk behandling påbegyndes.</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3.11</w:t>
      </w:r>
      <w:r w:rsidRPr="00183814">
        <w:rPr>
          <w:sz w:val="24"/>
          <w:szCs w:val="24"/>
        </w:rPr>
        <w:tab/>
        <w:t>Særlige begrænsninger og betingelser for anvendelse, herunder begrænsninger for anvendelsen af antimikrobielle og antiparasitære veterinærlægemidler for at begrænse risikoen for udvikling af resistens</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Ikke relevant.</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3.12</w:t>
      </w:r>
      <w:r w:rsidRPr="00183814">
        <w:rPr>
          <w:sz w:val="24"/>
          <w:szCs w:val="24"/>
        </w:rPr>
        <w:tab/>
        <w:t>Tilbageholdelsestid(er)</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lastRenderedPageBreak/>
        <w:t>Ikke relevant.</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4.</w:t>
      </w:r>
      <w:r w:rsidRPr="00183814">
        <w:rPr>
          <w:sz w:val="24"/>
          <w:szCs w:val="24"/>
        </w:rPr>
        <w:tab/>
        <w:t>FARMAKOLOGISKE OPLYSNINGER</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4.1</w:t>
      </w:r>
      <w:r w:rsidRPr="00183814">
        <w:rPr>
          <w:sz w:val="24"/>
          <w:szCs w:val="24"/>
        </w:rPr>
        <w:tab/>
      </w:r>
      <w:proofErr w:type="spellStart"/>
      <w:r w:rsidRPr="00183814">
        <w:rPr>
          <w:sz w:val="24"/>
          <w:szCs w:val="24"/>
        </w:rPr>
        <w:t>ATCvet</w:t>
      </w:r>
      <w:proofErr w:type="spellEnd"/>
      <w:r w:rsidRPr="00183814">
        <w:rPr>
          <w:sz w:val="24"/>
          <w:szCs w:val="24"/>
        </w:rPr>
        <w:t>-kode:</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QC01CE90</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4.2</w:t>
      </w:r>
      <w:r w:rsidRPr="00183814">
        <w:rPr>
          <w:sz w:val="24"/>
          <w:szCs w:val="24"/>
        </w:rPr>
        <w:tab/>
      </w:r>
      <w:proofErr w:type="spellStart"/>
      <w:r w:rsidRPr="00183814">
        <w:rPr>
          <w:sz w:val="24"/>
          <w:szCs w:val="24"/>
        </w:rPr>
        <w:t>Farmakodynamiske</w:t>
      </w:r>
      <w:proofErr w:type="spellEnd"/>
      <w:r w:rsidRPr="00183814">
        <w:rPr>
          <w:sz w:val="24"/>
          <w:szCs w:val="24"/>
        </w:rPr>
        <w:t xml:space="preserve"> oplysninger</w:t>
      </w:r>
    </w:p>
    <w:p w:rsidR="00183814" w:rsidRPr="00183814" w:rsidRDefault="00183814" w:rsidP="00183814">
      <w:pPr>
        <w:rPr>
          <w:sz w:val="24"/>
          <w:szCs w:val="24"/>
        </w:rPr>
      </w:pPr>
    </w:p>
    <w:p w:rsidR="00183814" w:rsidRPr="00183814" w:rsidRDefault="00183814" w:rsidP="00183814">
      <w:pPr>
        <w:ind w:left="567"/>
        <w:rPr>
          <w:sz w:val="24"/>
          <w:szCs w:val="24"/>
        </w:rPr>
      </w:pPr>
      <w:proofErr w:type="spellStart"/>
      <w:r w:rsidRPr="00183814">
        <w:rPr>
          <w:sz w:val="24"/>
          <w:szCs w:val="24"/>
        </w:rPr>
        <w:t>Pimobendan</w:t>
      </w:r>
      <w:proofErr w:type="spellEnd"/>
      <w:r w:rsidRPr="00183814">
        <w:rPr>
          <w:sz w:val="24"/>
          <w:szCs w:val="24"/>
        </w:rPr>
        <w:t xml:space="preserve">, et </w:t>
      </w:r>
      <w:proofErr w:type="spellStart"/>
      <w:r w:rsidRPr="00183814">
        <w:rPr>
          <w:sz w:val="24"/>
          <w:szCs w:val="24"/>
        </w:rPr>
        <w:t>benzimidazol</w:t>
      </w:r>
      <w:proofErr w:type="spellEnd"/>
      <w:r w:rsidRPr="00183814">
        <w:rPr>
          <w:sz w:val="24"/>
          <w:szCs w:val="24"/>
        </w:rPr>
        <w:t>-</w:t>
      </w:r>
      <w:proofErr w:type="spellStart"/>
      <w:r w:rsidRPr="00183814">
        <w:rPr>
          <w:sz w:val="24"/>
          <w:szCs w:val="24"/>
        </w:rPr>
        <w:t>pyridazinon</w:t>
      </w:r>
      <w:proofErr w:type="spellEnd"/>
      <w:r w:rsidRPr="00183814">
        <w:rPr>
          <w:sz w:val="24"/>
          <w:szCs w:val="24"/>
        </w:rPr>
        <w:t>-derivat, er en non-</w:t>
      </w:r>
      <w:proofErr w:type="spellStart"/>
      <w:r w:rsidRPr="00183814">
        <w:rPr>
          <w:sz w:val="24"/>
          <w:szCs w:val="24"/>
        </w:rPr>
        <w:t>sympatomimetisk</w:t>
      </w:r>
      <w:proofErr w:type="spellEnd"/>
      <w:r w:rsidRPr="00183814">
        <w:rPr>
          <w:sz w:val="24"/>
          <w:szCs w:val="24"/>
        </w:rPr>
        <w:t>, non-</w:t>
      </w:r>
      <w:proofErr w:type="spellStart"/>
      <w:r w:rsidRPr="00183814">
        <w:rPr>
          <w:sz w:val="24"/>
          <w:szCs w:val="24"/>
        </w:rPr>
        <w:t>glycosid</w:t>
      </w:r>
      <w:proofErr w:type="spellEnd"/>
      <w:r w:rsidRPr="00183814">
        <w:rPr>
          <w:sz w:val="24"/>
          <w:szCs w:val="24"/>
        </w:rPr>
        <w:t xml:space="preserve"> inotrop substans med potente </w:t>
      </w:r>
      <w:proofErr w:type="spellStart"/>
      <w:r w:rsidRPr="00183814">
        <w:rPr>
          <w:sz w:val="24"/>
          <w:szCs w:val="24"/>
        </w:rPr>
        <w:t>vasodilaterende</w:t>
      </w:r>
      <w:proofErr w:type="spellEnd"/>
      <w:r w:rsidRPr="00183814">
        <w:rPr>
          <w:sz w:val="24"/>
          <w:szCs w:val="24"/>
        </w:rPr>
        <w:t xml:space="preserve"> egenskaber.</w:t>
      </w:r>
    </w:p>
    <w:p w:rsidR="00183814" w:rsidRPr="00183814" w:rsidRDefault="00183814" w:rsidP="00183814">
      <w:pPr>
        <w:ind w:left="567"/>
        <w:rPr>
          <w:sz w:val="24"/>
          <w:szCs w:val="24"/>
        </w:rPr>
      </w:pPr>
    </w:p>
    <w:p w:rsidR="00183814" w:rsidRPr="00183814" w:rsidRDefault="00183814" w:rsidP="00183814">
      <w:pPr>
        <w:ind w:left="567"/>
        <w:rPr>
          <w:sz w:val="24"/>
          <w:szCs w:val="24"/>
        </w:rPr>
      </w:pPr>
      <w:proofErr w:type="spellStart"/>
      <w:r w:rsidRPr="00183814">
        <w:rPr>
          <w:sz w:val="24"/>
          <w:szCs w:val="24"/>
        </w:rPr>
        <w:t>Pimobendan</w:t>
      </w:r>
      <w:proofErr w:type="spellEnd"/>
      <w:r w:rsidRPr="00183814">
        <w:rPr>
          <w:sz w:val="24"/>
          <w:szCs w:val="24"/>
        </w:rPr>
        <w:t xml:space="preserve"> udøver sin stimulerende virkning på </w:t>
      </w:r>
      <w:proofErr w:type="spellStart"/>
      <w:r w:rsidRPr="00183814">
        <w:rPr>
          <w:sz w:val="24"/>
          <w:szCs w:val="24"/>
        </w:rPr>
        <w:t>myokardiet</w:t>
      </w:r>
      <w:proofErr w:type="spellEnd"/>
      <w:r w:rsidRPr="00183814">
        <w:rPr>
          <w:sz w:val="24"/>
          <w:szCs w:val="24"/>
        </w:rPr>
        <w:t xml:space="preserve"> ved en dobbelt virkningsmekanisme: Øge calciumfølsomhed af hjertets </w:t>
      </w:r>
      <w:proofErr w:type="spellStart"/>
      <w:r w:rsidRPr="00183814">
        <w:rPr>
          <w:sz w:val="24"/>
          <w:szCs w:val="24"/>
        </w:rPr>
        <w:t>myofilamenter</w:t>
      </w:r>
      <w:proofErr w:type="spellEnd"/>
      <w:r w:rsidRPr="00183814">
        <w:rPr>
          <w:sz w:val="24"/>
          <w:szCs w:val="24"/>
        </w:rPr>
        <w:t xml:space="preserve"> og hæmning af </w:t>
      </w:r>
      <w:proofErr w:type="spellStart"/>
      <w:r w:rsidRPr="00183814">
        <w:rPr>
          <w:sz w:val="24"/>
          <w:szCs w:val="24"/>
        </w:rPr>
        <w:t>phosphodiesterase</w:t>
      </w:r>
      <w:proofErr w:type="spellEnd"/>
      <w:r w:rsidRPr="00183814">
        <w:rPr>
          <w:sz w:val="24"/>
          <w:szCs w:val="24"/>
        </w:rPr>
        <w:t xml:space="preserve"> (type III), hvilket også medfører en </w:t>
      </w:r>
      <w:proofErr w:type="spellStart"/>
      <w:r w:rsidRPr="00183814">
        <w:rPr>
          <w:sz w:val="24"/>
          <w:szCs w:val="24"/>
        </w:rPr>
        <w:t>vasodilaterende</w:t>
      </w:r>
      <w:proofErr w:type="spellEnd"/>
      <w:r w:rsidRPr="00183814">
        <w:rPr>
          <w:sz w:val="24"/>
          <w:szCs w:val="24"/>
        </w:rPr>
        <w:t xml:space="preserve"> virkning.</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4.3</w:t>
      </w:r>
      <w:r w:rsidRPr="00183814">
        <w:rPr>
          <w:sz w:val="24"/>
          <w:szCs w:val="24"/>
        </w:rPr>
        <w:tab/>
      </w:r>
      <w:proofErr w:type="spellStart"/>
      <w:r w:rsidRPr="00183814">
        <w:rPr>
          <w:sz w:val="24"/>
          <w:szCs w:val="24"/>
        </w:rPr>
        <w:t>Farmakokinetiske</w:t>
      </w:r>
      <w:proofErr w:type="spellEnd"/>
      <w:r w:rsidRPr="00183814">
        <w:rPr>
          <w:sz w:val="24"/>
          <w:szCs w:val="24"/>
        </w:rPr>
        <w:t xml:space="preserve"> oplysninger</w:t>
      </w:r>
    </w:p>
    <w:p w:rsidR="00183814" w:rsidRPr="00183814" w:rsidRDefault="00183814" w:rsidP="00183814">
      <w:pPr>
        <w:rPr>
          <w:sz w:val="24"/>
          <w:szCs w:val="24"/>
        </w:rPr>
      </w:pPr>
    </w:p>
    <w:p w:rsidR="00183814" w:rsidRPr="00183814" w:rsidRDefault="00183814" w:rsidP="00183814">
      <w:pPr>
        <w:ind w:left="567"/>
        <w:rPr>
          <w:sz w:val="24"/>
          <w:szCs w:val="24"/>
          <w:u w:val="single"/>
        </w:rPr>
      </w:pPr>
      <w:r w:rsidRPr="00183814">
        <w:rPr>
          <w:sz w:val="24"/>
          <w:szCs w:val="24"/>
          <w:u w:val="single"/>
        </w:rPr>
        <w:t>Absorption:</w:t>
      </w:r>
    </w:p>
    <w:p w:rsidR="00183814" w:rsidRPr="00183814" w:rsidRDefault="00183814" w:rsidP="00183814">
      <w:pPr>
        <w:ind w:left="567"/>
        <w:rPr>
          <w:sz w:val="24"/>
          <w:szCs w:val="24"/>
        </w:rPr>
      </w:pPr>
      <w:r w:rsidRPr="00183814">
        <w:rPr>
          <w:sz w:val="24"/>
          <w:szCs w:val="24"/>
        </w:rPr>
        <w:t>På grund af den intravenøse administration er biotilgængeligheden 100 %.</w:t>
      </w:r>
    </w:p>
    <w:p w:rsidR="00183814" w:rsidRPr="00183814" w:rsidRDefault="00183814" w:rsidP="00183814">
      <w:pPr>
        <w:ind w:left="567"/>
        <w:rPr>
          <w:sz w:val="24"/>
          <w:szCs w:val="24"/>
        </w:rPr>
      </w:pPr>
    </w:p>
    <w:p w:rsidR="00183814" w:rsidRPr="00183814" w:rsidRDefault="00183814" w:rsidP="00183814">
      <w:pPr>
        <w:ind w:left="567"/>
        <w:rPr>
          <w:sz w:val="24"/>
          <w:szCs w:val="24"/>
          <w:u w:val="single"/>
        </w:rPr>
      </w:pPr>
      <w:r w:rsidRPr="00183814">
        <w:rPr>
          <w:sz w:val="24"/>
          <w:szCs w:val="24"/>
          <w:u w:val="single"/>
        </w:rPr>
        <w:t>Distribution:</w:t>
      </w:r>
    </w:p>
    <w:p w:rsidR="00183814" w:rsidRPr="00183814" w:rsidRDefault="00183814" w:rsidP="00183814">
      <w:pPr>
        <w:ind w:left="567"/>
        <w:rPr>
          <w:sz w:val="24"/>
          <w:szCs w:val="24"/>
        </w:rPr>
      </w:pPr>
      <w:r w:rsidRPr="00183814">
        <w:rPr>
          <w:sz w:val="24"/>
          <w:szCs w:val="24"/>
        </w:rPr>
        <w:t xml:space="preserve">Efter intravenøs administration er fordelingsvolumen 2,6 l/kg, hvilket indikerer, at </w:t>
      </w:r>
      <w:proofErr w:type="spellStart"/>
      <w:r w:rsidRPr="00183814">
        <w:rPr>
          <w:sz w:val="24"/>
          <w:szCs w:val="24"/>
        </w:rPr>
        <w:t>pimobendan</w:t>
      </w:r>
      <w:proofErr w:type="spellEnd"/>
      <w:r w:rsidRPr="00183814">
        <w:rPr>
          <w:sz w:val="24"/>
          <w:szCs w:val="24"/>
        </w:rPr>
        <w:t xml:space="preserve"> let fordeles i vævene. Den gennemsnitlige plasmaproteinbinding er 93 %.</w:t>
      </w:r>
    </w:p>
    <w:p w:rsidR="00183814" w:rsidRPr="00183814" w:rsidRDefault="00183814" w:rsidP="00183814">
      <w:pPr>
        <w:ind w:left="567"/>
        <w:rPr>
          <w:sz w:val="24"/>
          <w:szCs w:val="24"/>
        </w:rPr>
      </w:pPr>
    </w:p>
    <w:p w:rsidR="00183814" w:rsidRPr="00183814" w:rsidRDefault="00183814" w:rsidP="00183814">
      <w:pPr>
        <w:ind w:left="567"/>
        <w:rPr>
          <w:sz w:val="24"/>
          <w:szCs w:val="24"/>
          <w:u w:val="single"/>
        </w:rPr>
      </w:pPr>
      <w:r w:rsidRPr="00183814">
        <w:rPr>
          <w:sz w:val="24"/>
          <w:szCs w:val="24"/>
          <w:u w:val="single"/>
        </w:rPr>
        <w:t>Metabolisme:</w:t>
      </w:r>
    </w:p>
    <w:p w:rsidR="00183814" w:rsidRPr="00183814" w:rsidRDefault="00183814" w:rsidP="00183814">
      <w:pPr>
        <w:ind w:left="567"/>
        <w:rPr>
          <w:sz w:val="24"/>
          <w:szCs w:val="24"/>
        </w:rPr>
      </w:pPr>
      <w:r w:rsidRPr="00183814">
        <w:rPr>
          <w:sz w:val="24"/>
          <w:szCs w:val="24"/>
        </w:rPr>
        <w:t xml:space="preserve">Ved </w:t>
      </w:r>
      <w:proofErr w:type="spellStart"/>
      <w:r w:rsidRPr="00183814">
        <w:rPr>
          <w:sz w:val="24"/>
          <w:szCs w:val="24"/>
        </w:rPr>
        <w:t>oxidativ</w:t>
      </w:r>
      <w:proofErr w:type="spellEnd"/>
      <w:r w:rsidRPr="00183814">
        <w:rPr>
          <w:sz w:val="24"/>
          <w:szCs w:val="24"/>
        </w:rPr>
        <w:t xml:space="preserve"> </w:t>
      </w:r>
      <w:proofErr w:type="spellStart"/>
      <w:r w:rsidRPr="00183814">
        <w:rPr>
          <w:sz w:val="24"/>
          <w:szCs w:val="24"/>
        </w:rPr>
        <w:t>demethylering</w:t>
      </w:r>
      <w:proofErr w:type="spellEnd"/>
      <w:r w:rsidRPr="00183814">
        <w:rPr>
          <w:sz w:val="24"/>
          <w:szCs w:val="24"/>
        </w:rPr>
        <w:t xml:space="preserve"> dannes den aktive hovedmetabolit (UD-CG 212). Fortsatte </w:t>
      </w:r>
      <w:proofErr w:type="spellStart"/>
      <w:r w:rsidRPr="00183814">
        <w:rPr>
          <w:sz w:val="24"/>
          <w:szCs w:val="24"/>
        </w:rPr>
        <w:t>metaboliseringsveje</w:t>
      </w:r>
      <w:proofErr w:type="spellEnd"/>
      <w:r w:rsidRPr="00183814">
        <w:rPr>
          <w:sz w:val="24"/>
          <w:szCs w:val="24"/>
        </w:rPr>
        <w:t xml:space="preserve"> er fase II-</w:t>
      </w:r>
      <w:proofErr w:type="spellStart"/>
      <w:r w:rsidRPr="00183814">
        <w:rPr>
          <w:sz w:val="24"/>
          <w:szCs w:val="24"/>
        </w:rPr>
        <w:t>konjugater</w:t>
      </w:r>
      <w:proofErr w:type="spellEnd"/>
      <w:r w:rsidRPr="00183814">
        <w:rPr>
          <w:sz w:val="24"/>
          <w:szCs w:val="24"/>
        </w:rPr>
        <w:t xml:space="preserve"> af UD-CG 212, </w:t>
      </w:r>
      <w:proofErr w:type="spellStart"/>
      <w:r w:rsidRPr="00183814">
        <w:rPr>
          <w:sz w:val="24"/>
          <w:szCs w:val="24"/>
        </w:rPr>
        <w:t>hovedsagligt</w:t>
      </w:r>
      <w:proofErr w:type="spellEnd"/>
      <w:r w:rsidRPr="00183814">
        <w:rPr>
          <w:sz w:val="24"/>
          <w:szCs w:val="24"/>
        </w:rPr>
        <w:t xml:space="preserve"> </w:t>
      </w:r>
      <w:proofErr w:type="spellStart"/>
      <w:r w:rsidRPr="00183814">
        <w:rPr>
          <w:sz w:val="24"/>
          <w:szCs w:val="24"/>
        </w:rPr>
        <w:t>glucuronider</w:t>
      </w:r>
      <w:proofErr w:type="spellEnd"/>
      <w:r w:rsidRPr="00183814">
        <w:rPr>
          <w:sz w:val="24"/>
          <w:szCs w:val="24"/>
        </w:rPr>
        <w:t xml:space="preserve"> og sulfater.</w:t>
      </w:r>
    </w:p>
    <w:p w:rsidR="00183814" w:rsidRPr="00183814" w:rsidRDefault="00183814" w:rsidP="00183814">
      <w:pPr>
        <w:ind w:left="567"/>
        <w:rPr>
          <w:sz w:val="24"/>
          <w:szCs w:val="24"/>
        </w:rPr>
      </w:pPr>
    </w:p>
    <w:p w:rsidR="00183814" w:rsidRPr="00183814" w:rsidRDefault="00183814" w:rsidP="00183814">
      <w:pPr>
        <w:ind w:left="567"/>
        <w:rPr>
          <w:sz w:val="24"/>
          <w:szCs w:val="24"/>
          <w:u w:val="single"/>
        </w:rPr>
      </w:pPr>
      <w:r w:rsidRPr="00183814">
        <w:rPr>
          <w:sz w:val="24"/>
          <w:szCs w:val="24"/>
          <w:u w:val="single"/>
        </w:rPr>
        <w:t>Elimination:</w:t>
      </w:r>
    </w:p>
    <w:p w:rsidR="00183814" w:rsidRPr="00183814" w:rsidRDefault="00183814" w:rsidP="00183814">
      <w:pPr>
        <w:ind w:left="567"/>
        <w:rPr>
          <w:sz w:val="24"/>
          <w:szCs w:val="24"/>
        </w:rPr>
      </w:pPr>
      <w:r w:rsidRPr="00183814">
        <w:rPr>
          <w:sz w:val="24"/>
          <w:szCs w:val="24"/>
        </w:rPr>
        <w:t xml:space="preserve">Efter intravenøs administration er plasmahalveringstiden for </w:t>
      </w:r>
      <w:proofErr w:type="spellStart"/>
      <w:r w:rsidRPr="00183814">
        <w:rPr>
          <w:sz w:val="24"/>
          <w:szCs w:val="24"/>
        </w:rPr>
        <w:t>pimobendan</w:t>
      </w:r>
      <w:proofErr w:type="spellEnd"/>
      <w:r w:rsidRPr="00183814">
        <w:rPr>
          <w:sz w:val="24"/>
          <w:szCs w:val="24"/>
        </w:rPr>
        <w:t xml:space="preserve"> 0,4 ± 0,1 timer, hvilket </w:t>
      </w:r>
      <w:bookmarkStart w:id="4" w:name="_Hlk144128484"/>
      <w:r w:rsidRPr="00183814">
        <w:rPr>
          <w:sz w:val="24"/>
          <w:szCs w:val="24"/>
        </w:rPr>
        <w:t>er i overensstemmelse</w:t>
      </w:r>
      <w:bookmarkEnd w:id="4"/>
      <w:r w:rsidRPr="00183814">
        <w:rPr>
          <w:sz w:val="24"/>
          <w:szCs w:val="24"/>
        </w:rPr>
        <w:t xml:space="preserve"> med den høje </w:t>
      </w:r>
      <w:proofErr w:type="spellStart"/>
      <w:r w:rsidRPr="00183814">
        <w:rPr>
          <w:sz w:val="24"/>
          <w:szCs w:val="24"/>
        </w:rPr>
        <w:t>clearance</w:t>
      </w:r>
      <w:proofErr w:type="spellEnd"/>
      <w:r w:rsidRPr="00183814">
        <w:rPr>
          <w:sz w:val="24"/>
          <w:szCs w:val="24"/>
        </w:rPr>
        <w:t xml:space="preserve"> på 90 ± 19 ml/min/kg og en kort gennemsnitlig opholdstid på 0,5 ± 0,1 timer. </w:t>
      </w:r>
    </w:p>
    <w:p w:rsidR="00183814" w:rsidRPr="00183814" w:rsidRDefault="00183814" w:rsidP="00183814">
      <w:pPr>
        <w:ind w:left="567"/>
        <w:rPr>
          <w:sz w:val="24"/>
          <w:szCs w:val="24"/>
        </w:rPr>
      </w:pPr>
      <w:r w:rsidRPr="00183814">
        <w:rPr>
          <w:sz w:val="24"/>
          <w:szCs w:val="24"/>
        </w:rPr>
        <w:t>Den vigtigste aktive metabolit elimineres med en plasmahalveringstid på 2,0 ± 0,3 timer. Næsten hele dosis udskilles via fæces.</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w:t>
      </w:r>
      <w:r w:rsidRPr="00183814">
        <w:rPr>
          <w:sz w:val="24"/>
          <w:szCs w:val="24"/>
        </w:rPr>
        <w:tab/>
        <w:t>FARMACEUTISKE OPLYSNINGER</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5.1</w:t>
      </w:r>
      <w:r w:rsidRPr="00183814">
        <w:rPr>
          <w:sz w:val="24"/>
          <w:szCs w:val="24"/>
        </w:rPr>
        <w:tab/>
        <w:t>Væsentlige uforligeligheder</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Da der ikke foreligger undersøgelser vedrørende eventuelle uforligeligheder, bør dette veterinærlægemiddel ikke blandes med andre veterinærlægemidler.</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5.2</w:t>
      </w:r>
      <w:r w:rsidRPr="00183814">
        <w:rPr>
          <w:sz w:val="24"/>
          <w:szCs w:val="24"/>
        </w:rPr>
        <w:tab/>
        <w:t>Opbevaringstid</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Opbevaringstid for veterinærlægemidlet i salgspakning: 3 år.</w:t>
      </w:r>
    </w:p>
    <w:p w:rsidR="00183814" w:rsidRPr="00183814" w:rsidRDefault="00183814" w:rsidP="00183814">
      <w:pPr>
        <w:ind w:left="567"/>
        <w:rPr>
          <w:sz w:val="24"/>
          <w:szCs w:val="24"/>
        </w:rPr>
      </w:pPr>
      <w:r w:rsidRPr="00183814">
        <w:rPr>
          <w:sz w:val="24"/>
          <w:szCs w:val="24"/>
        </w:rPr>
        <w:t>Opbevaringstid efter første åbning af den indre emballage: Anvendes straks.</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5.3</w:t>
      </w:r>
      <w:r w:rsidRPr="00183814">
        <w:rPr>
          <w:sz w:val="24"/>
          <w:szCs w:val="24"/>
        </w:rPr>
        <w:tab/>
        <w:t>Særlige forholdsregler vedrørende opbevaring</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Der er ingen særlige krav vedrørende opbevaringsforhold for dette veterinærlægemiddel.</w:t>
      </w:r>
    </w:p>
    <w:p w:rsidR="00183814" w:rsidRPr="00183814" w:rsidRDefault="00183814" w:rsidP="00183814">
      <w:pPr>
        <w:ind w:left="567"/>
        <w:rPr>
          <w:sz w:val="24"/>
          <w:szCs w:val="24"/>
        </w:rPr>
      </w:pPr>
      <w:r w:rsidRPr="00183814">
        <w:rPr>
          <w:sz w:val="24"/>
          <w:szCs w:val="24"/>
        </w:rPr>
        <w:t>Dette veterinærlægemiddel indeholder ikke et antimikrobielt konserveringsmiddel.</w:t>
      </w:r>
    </w:p>
    <w:p w:rsidR="00183814" w:rsidRPr="00183814" w:rsidRDefault="00183814" w:rsidP="00183814">
      <w:pPr>
        <w:ind w:left="567"/>
        <w:rPr>
          <w:sz w:val="24"/>
          <w:szCs w:val="24"/>
        </w:rPr>
      </w:pPr>
      <w:r w:rsidRPr="00183814">
        <w:rPr>
          <w:sz w:val="24"/>
          <w:szCs w:val="24"/>
        </w:rPr>
        <w:t>Dette veterinærlægemiddel er beregnet til engangsbrug.</w:t>
      </w:r>
    </w:p>
    <w:p w:rsidR="00183814" w:rsidRPr="00183814" w:rsidRDefault="00183814" w:rsidP="00183814">
      <w:pPr>
        <w:ind w:left="567"/>
        <w:rPr>
          <w:sz w:val="24"/>
          <w:szCs w:val="24"/>
        </w:rPr>
      </w:pPr>
      <w:r w:rsidRPr="00183814">
        <w:rPr>
          <w:sz w:val="24"/>
          <w:szCs w:val="24"/>
        </w:rPr>
        <w:t>Tilbageværende indhold i flasken, efter den nødvendige dosis er udtaget, skal destrueres.</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5.4</w:t>
      </w:r>
      <w:r w:rsidRPr="00183814">
        <w:rPr>
          <w:sz w:val="24"/>
          <w:szCs w:val="24"/>
        </w:rPr>
        <w:tab/>
        <w:t>Den indre emballages art og indhold</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 xml:space="preserve">5 ml eller 10 ml </w:t>
      </w:r>
      <w:proofErr w:type="gramStart"/>
      <w:r w:rsidRPr="00183814">
        <w:rPr>
          <w:sz w:val="24"/>
          <w:szCs w:val="24"/>
        </w:rPr>
        <w:t>farveløst type</w:t>
      </w:r>
      <w:proofErr w:type="gramEnd"/>
      <w:r w:rsidRPr="00183814">
        <w:rPr>
          <w:sz w:val="24"/>
          <w:szCs w:val="24"/>
        </w:rPr>
        <w:t xml:space="preserve"> I hætteglas til engangsbrug med </w:t>
      </w:r>
      <w:proofErr w:type="spellStart"/>
      <w:r w:rsidRPr="00183814">
        <w:rPr>
          <w:sz w:val="24"/>
          <w:szCs w:val="24"/>
        </w:rPr>
        <w:t>FluroTec</w:t>
      </w:r>
      <w:proofErr w:type="spellEnd"/>
      <w:r w:rsidRPr="00183814">
        <w:rPr>
          <w:sz w:val="24"/>
          <w:szCs w:val="24"/>
        </w:rPr>
        <w:t xml:space="preserve"> belagt butyl-gummiprop og forseglet med aluminiumshætte, pakket enkeltvis i papæske.</w:t>
      </w:r>
    </w:p>
    <w:p w:rsidR="00183814" w:rsidRPr="00183814" w:rsidRDefault="00183814" w:rsidP="00183814">
      <w:pPr>
        <w:ind w:firstLine="567"/>
        <w:rPr>
          <w:sz w:val="24"/>
          <w:szCs w:val="24"/>
        </w:rPr>
      </w:pPr>
      <w:r w:rsidRPr="00183814">
        <w:rPr>
          <w:sz w:val="24"/>
          <w:szCs w:val="24"/>
        </w:rPr>
        <w:t>Ikke alle pakningsstørrelser er nødvendigvis markedsført.</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5.5</w:t>
      </w:r>
      <w:r w:rsidRPr="00183814">
        <w:rPr>
          <w:sz w:val="24"/>
          <w:szCs w:val="24"/>
        </w:rPr>
        <w:tab/>
        <w:t>Særlige forholdsregler vedrørende bortskaffelse af ubrugte veterinærlægemidler eller affaldsmaterialer fra brugen heraf</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Lægemidler må ikke bortskaffes sammen med spildevand eller husholdningsaffald.</w:t>
      </w:r>
    </w:p>
    <w:p w:rsidR="00183814" w:rsidRPr="00183814" w:rsidRDefault="00183814" w:rsidP="00183814">
      <w:pPr>
        <w:ind w:left="567" w:right="-143"/>
        <w:rPr>
          <w:sz w:val="24"/>
          <w:szCs w:val="24"/>
        </w:rPr>
      </w:pPr>
      <w:r w:rsidRPr="0018381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6.</w:t>
      </w:r>
      <w:r w:rsidRPr="00183814">
        <w:rPr>
          <w:sz w:val="24"/>
          <w:szCs w:val="24"/>
        </w:rPr>
        <w:tab/>
        <w:t>NAVN PÅ INDEHAVEREN AF MARKEDSFØRINGSTILLADELSEN</w:t>
      </w:r>
    </w:p>
    <w:p w:rsidR="00183814" w:rsidRPr="00183814" w:rsidRDefault="00183814" w:rsidP="00183814">
      <w:pPr>
        <w:rPr>
          <w:sz w:val="24"/>
          <w:szCs w:val="24"/>
        </w:rPr>
      </w:pPr>
    </w:p>
    <w:p w:rsidR="00183814" w:rsidRPr="00183814" w:rsidRDefault="00183814" w:rsidP="00183814">
      <w:pPr>
        <w:ind w:left="567"/>
        <w:rPr>
          <w:sz w:val="24"/>
          <w:szCs w:val="24"/>
        </w:rPr>
      </w:pPr>
      <w:r w:rsidRPr="00183814">
        <w:rPr>
          <w:sz w:val="24"/>
          <w:szCs w:val="24"/>
        </w:rPr>
        <w:t xml:space="preserve">Boehringer Ingelheim </w:t>
      </w:r>
      <w:proofErr w:type="spellStart"/>
      <w:r w:rsidRPr="00183814">
        <w:rPr>
          <w:sz w:val="24"/>
          <w:szCs w:val="24"/>
        </w:rPr>
        <w:t>Vetmedica</w:t>
      </w:r>
      <w:proofErr w:type="spellEnd"/>
      <w:r w:rsidRPr="00183814">
        <w:rPr>
          <w:sz w:val="24"/>
          <w:szCs w:val="24"/>
        </w:rPr>
        <w:t xml:space="preserve"> GmbH</w:t>
      </w:r>
    </w:p>
    <w:p w:rsidR="00183814" w:rsidRPr="00183814" w:rsidRDefault="00183814" w:rsidP="00183814">
      <w:pPr>
        <w:ind w:left="567"/>
        <w:rPr>
          <w:sz w:val="24"/>
          <w:szCs w:val="24"/>
          <w:lang w:val="de-DE"/>
        </w:rPr>
      </w:pPr>
      <w:r w:rsidRPr="00183814">
        <w:rPr>
          <w:sz w:val="24"/>
          <w:szCs w:val="24"/>
        </w:rPr>
        <w:t xml:space="preserve">Binger </w:t>
      </w:r>
      <w:proofErr w:type="spellStart"/>
      <w:r w:rsidRPr="00183814">
        <w:rPr>
          <w:sz w:val="24"/>
          <w:szCs w:val="24"/>
        </w:rPr>
        <w:t>Strasse</w:t>
      </w:r>
      <w:proofErr w:type="spellEnd"/>
      <w:r w:rsidRPr="00183814">
        <w:rPr>
          <w:sz w:val="24"/>
          <w:szCs w:val="24"/>
        </w:rPr>
        <w:t xml:space="preserve"> 173</w:t>
      </w:r>
    </w:p>
    <w:p w:rsidR="00183814" w:rsidRPr="00183814" w:rsidRDefault="00183814" w:rsidP="00183814">
      <w:pPr>
        <w:ind w:left="567"/>
        <w:rPr>
          <w:sz w:val="24"/>
          <w:szCs w:val="24"/>
          <w:lang w:val="de-DE"/>
        </w:rPr>
      </w:pPr>
      <w:r w:rsidRPr="00183814">
        <w:rPr>
          <w:sz w:val="24"/>
          <w:szCs w:val="24"/>
          <w:lang w:val="de-DE"/>
        </w:rPr>
        <w:t>55216 Ingelheim am Rhein</w:t>
      </w:r>
    </w:p>
    <w:p w:rsidR="00183814" w:rsidRPr="00183814" w:rsidRDefault="00183814" w:rsidP="00183814">
      <w:pPr>
        <w:ind w:left="567"/>
        <w:rPr>
          <w:sz w:val="24"/>
          <w:szCs w:val="24"/>
        </w:rPr>
      </w:pPr>
      <w:r w:rsidRPr="00183814">
        <w:rPr>
          <w:sz w:val="24"/>
          <w:szCs w:val="24"/>
        </w:rPr>
        <w:t>Tyskland</w:t>
      </w:r>
    </w:p>
    <w:p w:rsidR="00183814" w:rsidRPr="00183814" w:rsidRDefault="00183814" w:rsidP="00183814">
      <w:pPr>
        <w:ind w:left="567"/>
        <w:rPr>
          <w:sz w:val="24"/>
          <w:szCs w:val="24"/>
        </w:rPr>
      </w:pPr>
    </w:p>
    <w:p w:rsidR="00183814" w:rsidRPr="00183814" w:rsidRDefault="00183814" w:rsidP="00183814">
      <w:pPr>
        <w:ind w:left="567"/>
        <w:rPr>
          <w:b/>
          <w:bCs/>
          <w:sz w:val="24"/>
          <w:szCs w:val="24"/>
          <w:lang w:val="en-US"/>
        </w:rPr>
      </w:pPr>
      <w:proofErr w:type="spellStart"/>
      <w:r w:rsidRPr="00183814">
        <w:rPr>
          <w:b/>
          <w:bCs/>
          <w:sz w:val="24"/>
          <w:szCs w:val="24"/>
          <w:lang w:val="en-US"/>
        </w:rPr>
        <w:t>Repræsentant</w:t>
      </w:r>
      <w:proofErr w:type="spellEnd"/>
    </w:p>
    <w:p w:rsidR="00183814" w:rsidRPr="00183814" w:rsidRDefault="00183814" w:rsidP="00183814">
      <w:pPr>
        <w:ind w:left="567"/>
        <w:rPr>
          <w:sz w:val="24"/>
          <w:szCs w:val="24"/>
          <w:lang w:val="en-US"/>
        </w:rPr>
      </w:pPr>
      <w:r w:rsidRPr="00183814">
        <w:rPr>
          <w:sz w:val="24"/>
          <w:szCs w:val="24"/>
          <w:lang w:val="en-US"/>
        </w:rPr>
        <w:t>Boehringer Ingelheim Animal Health Nordics A/S</w:t>
      </w:r>
    </w:p>
    <w:p w:rsidR="00183814" w:rsidRPr="00183814" w:rsidRDefault="00183814" w:rsidP="00183814">
      <w:pPr>
        <w:ind w:left="567"/>
        <w:rPr>
          <w:sz w:val="24"/>
          <w:szCs w:val="24"/>
        </w:rPr>
      </w:pPr>
      <w:proofErr w:type="spellStart"/>
      <w:r w:rsidRPr="00183814">
        <w:rPr>
          <w:sz w:val="24"/>
          <w:szCs w:val="24"/>
        </w:rPr>
        <w:t>Weidekampsgade</w:t>
      </w:r>
      <w:proofErr w:type="spellEnd"/>
      <w:r w:rsidRPr="00183814">
        <w:rPr>
          <w:sz w:val="24"/>
          <w:szCs w:val="24"/>
        </w:rPr>
        <w:t xml:space="preserve"> 14</w:t>
      </w:r>
    </w:p>
    <w:p w:rsidR="00183814" w:rsidRPr="00183814" w:rsidRDefault="00183814" w:rsidP="00183814">
      <w:pPr>
        <w:ind w:left="567"/>
        <w:rPr>
          <w:sz w:val="24"/>
          <w:szCs w:val="24"/>
        </w:rPr>
      </w:pPr>
      <w:r w:rsidRPr="00183814">
        <w:rPr>
          <w:sz w:val="24"/>
          <w:szCs w:val="24"/>
        </w:rPr>
        <w:t>2300 København S</w:t>
      </w:r>
    </w:p>
    <w:p w:rsidR="00183814" w:rsidRPr="00183814" w:rsidRDefault="00183814" w:rsidP="00183814">
      <w:pPr>
        <w:ind w:left="567"/>
        <w:rPr>
          <w:sz w:val="24"/>
          <w:szCs w:val="24"/>
        </w:rPr>
      </w:pPr>
      <w:r w:rsidRPr="00183814">
        <w:rPr>
          <w:sz w:val="24"/>
          <w:szCs w:val="24"/>
        </w:rPr>
        <w:t>Danmark</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7.</w:t>
      </w:r>
      <w:r w:rsidRPr="00183814">
        <w:rPr>
          <w:sz w:val="24"/>
          <w:szCs w:val="24"/>
        </w:rPr>
        <w:tab/>
        <w:t>MARKEDSFØRINGSTILLADELSESNUMMER (-NUMRE)</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52956</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8.</w:t>
      </w:r>
      <w:r w:rsidRPr="00183814">
        <w:rPr>
          <w:sz w:val="24"/>
          <w:szCs w:val="24"/>
        </w:rPr>
        <w:tab/>
        <w:t>DATO FOR FØRSTE TILLADELSE</w:t>
      </w:r>
    </w:p>
    <w:p w:rsidR="00183814" w:rsidRPr="00183814" w:rsidRDefault="00183814" w:rsidP="00183814">
      <w:pPr>
        <w:rPr>
          <w:sz w:val="24"/>
          <w:szCs w:val="24"/>
        </w:rPr>
      </w:pPr>
    </w:p>
    <w:p w:rsidR="00183814" w:rsidRPr="00183814" w:rsidRDefault="00183814" w:rsidP="00183814">
      <w:pPr>
        <w:ind w:firstLine="567"/>
        <w:rPr>
          <w:sz w:val="24"/>
          <w:szCs w:val="24"/>
        </w:rPr>
      </w:pPr>
      <w:r w:rsidRPr="00183814">
        <w:rPr>
          <w:sz w:val="24"/>
          <w:szCs w:val="24"/>
        </w:rPr>
        <w:t>01/06/2015</w:t>
      </w:r>
    </w:p>
    <w:p w:rsidR="00183814" w:rsidRPr="00183814" w:rsidRDefault="00183814" w:rsidP="00183814">
      <w:pPr>
        <w:rPr>
          <w:sz w:val="24"/>
          <w:szCs w:val="24"/>
        </w:rPr>
      </w:pP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t>9.</w:t>
      </w:r>
      <w:r w:rsidRPr="00183814">
        <w:rPr>
          <w:sz w:val="24"/>
          <w:szCs w:val="24"/>
        </w:rPr>
        <w:tab/>
        <w:t>DATO FOR SENESTE ÆNDRING AF PRODUKTRESUMÉET</w:t>
      </w:r>
    </w:p>
    <w:p w:rsidR="00183814" w:rsidRPr="00183814" w:rsidRDefault="00183814" w:rsidP="00183814">
      <w:pPr>
        <w:rPr>
          <w:sz w:val="24"/>
          <w:szCs w:val="24"/>
        </w:rPr>
      </w:pPr>
    </w:p>
    <w:p w:rsidR="00183814" w:rsidRPr="00183814" w:rsidRDefault="00183814" w:rsidP="00183814">
      <w:pPr>
        <w:tabs>
          <w:tab w:val="left" w:pos="567"/>
        </w:tabs>
        <w:rPr>
          <w:sz w:val="24"/>
          <w:szCs w:val="24"/>
        </w:rPr>
      </w:pPr>
      <w:r w:rsidRPr="00183814">
        <w:rPr>
          <w:sz w:val="24"/>
          <w:szCs w:val="24"/>
        </w:rPr>
        <w:tab/>
        <w:t>28. januar 2025</w:t>
      </w:r>
    </w:p>
    <w:p w:rsidR="00183814" w:rsidRPr="00183814" w:rsidRDefault="00183814" w:rsidP="00183814">
      <w:pPr>
        <w:rPr>
          <w:sz w:val="24"/>
          <w:szCs w:val="24"/>
        </w:rPr>
      </w:pPr>
    </w:p>
    <w:p w:rsidR="00183814" w:rsidRPr="00183814" w:rsidRDefault="00183814" w:rsidP="00183814">
      <w:pPr>
        <w:pStyle w:val="Style1"/>
        <w:rPr>
          <w:sz w:val="24"/>
          <w:szCs w:val="24"/>
        </w:rPr>
      </w:pPr>
      <w:r w:rsidRPr="00183814">
        <w:rPr>
          <w:sz w:val="24"/>
          <w:szCs w:val="24"/>
        </w:rPr>
        <w:lastRenderedPageBreak/>
        <w:t>10.</w:t>
      </w:r>
      <w:r w:rsidRPr="00183814">
        <w:rPr>
          <w:sz w:val="24"/>
          <w:szCs w:val="24"/>
        </w:rPr>
        <w:tab/>
        <w:t>KLASSIFICERING AF VETERINÆRLÆGEMIDLER</w:t>
      </w:r>
    </w:p>
    <w:p w:rsidR="00183814" w:rsidRPr="00183814" w:rsidRDefault="00183814" w:rsidP="00183814">
      <w:pPr>
        <w:rPr>
          <w:sz w:val="24"/>
          <w:szCs w:val="24"/>
        </w:rPr>
      </w:pPr>
    </w:p>
    <w:p w:rsidR="00183814" w:rsidRPr="00183814" w:rsidRDefault="00183814" w:rsidP="00183814">
      <w:pPr>
        <w:numPr>
          <w:ilvl w:val="12"/>
          <w:numId w:val="0"/>
        </w:numPr>
        <w:ind w:firstLine="567"/>
        <w:rPr>
          <w:sz w:val="24"/>
          <w:szCs w:val="24"/>
        </w:rPr>
      </w:pPr>
      <w:r w:rsidRPr="00183814">
        <w:rPr>
          <w:sz w:val="24"/>
          <w:szCs w:val="24"/>
        </w:rPr>
        <w:t>B.</w:t>
      </w:r>
    </w:p>
    <w:p w:rsidR="00183814" w:rsidRPr="00183814" w:rsidRDefault="00183814" w:rsidP="00183814">
      <w:pPr>
        <w:ind w:right="-318"/>
        <w:rPr>
          <w:sz w:val="24"/>
          <w:szCs w:val="24"/>
        </w:rPr>
      </w:pPr>
    </w:p>
    <w:p w:rsidR="00183814" w:rsidRPr="00183814" w:rsidRDefault="00183814" w:rsidP="00183814">
      <w:pPr>
        <w:ind w:firstLine="567"/>
        <w:rPr>
          <w:sz w:val="24"/>
          <w:szCs w:val="24"/>
        </w:rPr>
      </w:pPr>
      <w:r w:rsidRPr="00183814">
        <w:rPr>
          <w:sz w:val="24"/>
          <w:szCs w:val="24"/>
        </w:rPr>
        <w:t>Der findes detaljerede oplysninger om dette veterinærlægemiddel i EU-lægemiddeldatabasen.</w:t>
      </w:r>
    </w:p>
    <w:p w:rsidR="0003527F" w:rsidRPr="00183814" w:rsidRDefault="0003527F" w:rsidP="00183814">
      <w:pPr>
        <w:tabs>
          <w:tab w:val="left" w:pos="8222"/>
        </w:tabs>
        <w:ind w:left="851" w:hanging="851"/>
        <w:rPr>
          <w:sz w:val="24"/>
          <w:szCs w:val="24"/>
        </w:rPr>
      </w:pPr>
    </w:p>
    <w:sectPr w:rsidR="0003527F" w:rsidRPr="0018381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FBA" w:rsidRDefault="00827FBA">
      <w:r>
        <w:separator/>
      </w:r>
    </w:p>
  </w:endnote>
  <w:endnote w:type="continuationSeparator" w:id="0">
    <w:p w:rsidR="00827FBA" w:rsidRDefault="0082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7FBA">
      <w:rPr>
        <w:i/>
        <w:noProof/>
        <w:snapToGrid w:val="0"/>
        <w:sz w:val="18"/>
      </w:rPr>
      <w:t>Dokument829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27FBA">
      <w:rPr>
        <w:i/>
        <w:noProof/>
        <w:snapToGrid w:val="0"/>
        <w:sz w:val="18"/>
      </w:rPr>
      <w:t>Dokument829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FBA" w:rsidRDefault="00827FBA">
      <w:r>
        <w:separator/>
      </w:r>
    </w:p>
  </w:footnote>
  <w:footnote w:type="continuationSeparator" w:id="0">
    <w:p w:rsidR="00827FBA" w:rsidRDefault="0082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331B9"/>
    <w:multiLevelType w:val="hybridMultilevel"/>
    <w:tmpl w:val="82489650"/>
    <w:lvl w:ilvl="0" w:tplc="B60C5BA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1E34306"/>
    <w:multiLevelType w:val="hybridMultilevel"/>
    <w:tmpl w:val="1E868508"/>
    <w:lvl w:ilvl="0" w:tplc="FFFFFFFF">
      <w:start w:val="1"/>
      <w:numFmt w:val="bullet"/>
      <w:lvlText w:val="-"/>
      <w:lvlJc w:val="left"/>
      <w:pPr>
        <w:ind w:left="720" w:hanging="360"/>
      </w:p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BA"/>
    <w:rsid w:val="0003527F"/>
    <w:rsid w:val="00065C7D"/>
    <w:rsid w:val="000C6CD4"/>
    <w:rsid w:val="001577E4"/>
    <w:rsid w:val="00183814"/>
    <w:rsid w:val="001858CA"/>
    <w:rsid w:val="001C4AEF"/>
    <w:rsid w:val="001D3CC5"/>
    <w:rsid w:val="002C7531"/>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27FBA"/>
    <w:rsid w:val="009202AE"/>
    <w:rsid w:val="00932676"/>
    <w:rsid w:val="009D66C6"/>
    <w:rsid w:val="00A26081"/>
    <w:rsid w:val="00A96525"/>
    <w:rsid w:val="00AA31AF"/>
    <w:rsid w:val="00AE29E5"/>
    <w:rsid w:val="00AE5757"/>
    <w:rsid w:val="00B25EB8"/>
    <w:rsid w:val="00BC634B"/>
    <w:rsid w:val="00BF2AE0"/>
    <w:rsid w:val="00C479BF"/>
    <w:rsid w:val="00D567AA"/>
    <w:rsid w:val="00D73A10"/>
    <w:rsid w:val="00DD58CA"/>
    <w:rsid w:val="00DD6D71"/>
    <w:rsid w:val="00DF32BE"/>
    <w:rsid w:val="00E14F0A"/>
    <w:rsid w:val="00EB3CD0"/>
    <w:rsid w:val="00EB5778"/>
    <w:rsid w:val="00EE5253"/>
    <w:rsid w:val="00F2440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C95DB-8EF4-4825-B832-AA602CA2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183814"/>
    <w:pPr>
      <w:tabs>
        <w:tab w:val="left" w:pos="0"/>
      </w:tabs>
      <w:ind w:left="567" w:hanging="567"/>
    </w:pPr>
    <w:rPr>
      <w:b/>
      <w:sz w:val="22"/>
      <w:szCs w:val="22"/>
    </w:rPr>
  </w:style>
  <w:style w:type="paragraph" w:styleId="Listeafsnit">
    <w:name w:val="List Paragraph"/>
    <w:basedOn w:val="Normal"/>
    <w:uiPriority w:val="34"/>
    <w:qFormat/>
    <w:rsid w:val="00183814"/>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7096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2023093933 QRD9</dc:description>
  <cp:lastModifiedBy>Alexandra Wæver</cp:lastModifiedBy>
  <cp:revision>2</cp:revision>
  <dcterms:created xsi:type="dcterms:W3CDTF">2025-01-28T13:58:00Z</dcterms:created>
  <dcterms:modified xsi:type="dcterms:W3CDTF">2025-01-28T13:58:00Z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