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7C6A80" w14:textId="77777777" w:rsidR="008203A8" w:rsidRPr="00255823" w:rsidRDefault="008203A8" w:rsidP="008203A8">
      <w:pPr>
        <w:rPr>
          <w:sz w:val="24"/>
          <w:szCs w:val="24"/>
        </w:rPr>
      </w:pPr>
      <w:r w:rsidRPr="00255823">
        <w:rPr>
          <w:noProof/>
          <w:sz w:val="24"/>
          <w:szCs w:val="24"/>
          <w:lang w:eastAsia="da-DK"/>
        </w:rPr>
        <w:drawing>
          <wp:inline distT="0" distB="0" distL="0" distR="0" wp14:anchorId="29F46E15" wp14:editId="212FF58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E0E9E6B" w14:textId="77777777" w:rsidR="008203A8" w:rsidRPr="00255823" w:rsidRDefault="008203A8" w:rsidP="008203A8">
      <w:pPr>
        <w:rPr>
          <w:sz w:val="24"/>
          <w:szCs w:val="24"/>
        </w:rPr>
      </w:pPr>
    </w:p>
    <w:p w14:paraId="11E05A9F" w14:textId="4C3EEB3E" w:rsidR="008203A8" w:rsidRPr="00255823" w:rsidRDefault="008203A8" w:rsidP="008203A8">
      <w:pPr>
        <w:tabs>
          <w:tab w:val="right" w:pos="9356"/>
        </w:tabs>
        <w:rPr>
          <w:b/>
          <w:sz w:val="24"/>
          <w:szCs w:val="24"/>
        </w:rPr>
      </w:pPr>
      <w:r w:rsidRPr="00255823">
        <w:rPr>
          <w:b/>
          <w:sz w:val="24"/>
          <w:szCs w:val="24"/>
        </w:rPr>
        <w:tab/>
      </w:r>
      <w:r w:rsidR="000A707F">
        <w:rPr>
          <w:b/>
          <w:sz w:val="24"/>
          <w:szCs w:val="24"/>
        </w:rPr>
        <w:t>4. april 2025</w:t>
      </w:r>
      <w:bookmarkStart w:id="0" w:name="_GoBack"/>
      <w:bookmarkEnd w:id="0"/>
    </w:p>
    <w:p w14:paraId="67014107" w14:textId="636E8DE3" w:rsidR="008203A8" w:rsidRPr="00255823" w:rsidRDefault="008203A8" w:rsidP="008203A8">
      <w:pPr>
        <w:rPr>
          <w:sz w:val="24"/>
          <w:szCs w:val="24"/>
        </w:rPr>
      </w:pPr>
    </w:p>
    <w:p w14:paraId="23462983" w14:textId="55B35D95" w:rsidR="00255823" w:rsidRPr="00255823" w:rsidRDefault="00255823" w:rsidP="008203A8">
      <w:pPr>
        <w:rPr>
          <w:sz w:val="24"/>
          <w:szCs w:val="24"/>
        </w:rPr>
      </w:pPr>
    </w:p>
    <w:p w14:paraId="5D19F28C" w14:textId="77777777" w:rsidR="00255823" w:rsidRPr="00255823" w:rsidRDefault="00255823" w:rsidP="008203A8">
      <w:pPr>
        <w:rPr>
          <w:sz w:val="24"/>
          <w:szCs w:val="24"/>
        </w:rPr>
      </w:pPr>
    </w:p>
    <w:p w14:paraId="4F2A8B66" w14:textId="77777777" w:rsidR="008203A8" w:rsidRPr="00255823" w:rsidRDefault="008203A8" w:rsidP="008203A8">
      <w:pPr>
        <w:jc w:val="center"/>
        <w:rPr>
          <w:b/>
          <w:sz w:val="24"/>
          <w:szCs w:val="24"/>
        </w:rPr>
      </w:pPr>
      <w:r w:rsidRPr="00255823">
        <w:rPr>
          <w:b/>
          <w:sz w:val="24"/>
          <w:szCs w:val="24"/>
        </w:rPr>
        <w:t>PRODUKTRESUMÉ</w:t>
      </w:r>
    </w:p>
    <w:p w14:paraId="2E3296E1" w14:textId="77777777" w:rsidR="008203A8" w:rsidRPr="00255823" w:rsidRDefault="008203A8" w:rsidP="008203A8">
      <w:pPr>
        <w:jc w:val="center"/>
        <w:rPr>
          <w:b/>
          <w:sz w:val="24"/>
          <w:szCs w:val="24"/>
        </w:rPr>
      </w:pPr>
    </w:p>
    <w:p w14:paraId="65D312DF" w14:textId="77777777" w:rsidR="008203A8" w:rsidRPr="00255823" w:rsidRDefault="008203A8" w:rsidP="008203A8">
      <w:pPr>
        <w:jc w:val="center"/>
        <w:rPr>
          <w:b/>
          <w:sz w:val="24"/>
          <w:szCs w:val="24"/>
        </w:rPr>
      </w:pPr>
      <w:r w:rsidRPr="00255823">
        <w:rPr>
          <w:b/>
          <w:sz w:val="24"/>
          <w:szCs w:val="24"/>
        </w:rPr>
        <w:t>for</w:t>
      </w:r>
    </w:p>
    <w:p w14:paraId="6D87ECBF" w14:textId="77777777" w:rsidR="008203A8" w:rsidRPr="00255823" w:rsidRDefault="008203A8" w:rsidP="008203A8">
      <w:pPr>
        <w:jc w:val="center"/>
        <w:rPr>
          <w:b/>
          <w:sz w:val="24"/>
          <w:szCs w:val="24"/>
        </w:rPr>
      </w:pPr>
    </w:p>
    <w:p w14:paraId="12923F45" w14:textId="525930E9" w:rsidR="008203A8" w:rsidRPr="00255823" w:rsidRDefault="00D9074D" w:rsidP="008203A8">
      <w:pPr>
        <w:jc w:val="center"/>
        <w:rPr>
          <w:b/>
          <w:sz w:val="24"/>
          <w:szCs w:val="24"/>
        </w:rPr>
      </w:pPr>
      <w:proofErr w:type="spellStart"/>
      <w:r w:rsidRPr="00255823">
        <w:rPr>
          <w:b/>
          <w:sz w:val="24"/>
          <w:szCs w:val="24"/>
        </w:rPr>
        <w:t>Vetmedin</w:t>
      </w:r>
      <w:proofErr w:type="spellEnd"/>
      <w:r w:rsidRPr="00255823">
        <w:rPr>
          <w:b/>
          <w:sz w:val="24"/>
          <w:szCs w:val="24"/>
        </w:rPr>
        <w:t xml:space="preserve"> </w:t>
      </w:r>
      <w:proofErr w:type="spellStart"/>
      <w:r w:rsidRPr="00255823">
        <w:rPr>
          <w:b/>
          <w:sz w:val="24"/>
          <w:szCs w:val="24"/>
        </w:rPr>
        <w:t>Vet</w:t>
      </w:r>
      <w:proofErr w:type="spellEnd"/>
      <w:r w:rsidRPr="00255823">
        <w:rPr>
          <w:b/>
          <w:sz w:val="24"/>
          <w:szCs w:val="24"/>
        </w:rPr>
        <w:t>., oral opløsning</w:t>
      </w:r>
    </w:p>
    <w:p w14:paraId="6D1076A1" w14:textId="77777777" w:rsidR="008203A8" w:rsidRPr="00255823" w:rsidRDefault="008203A8" w:rsidP="008203A8">
      <w:pPr>
        <w:jc w:val="both"/>
        <w:rPr>
          <w:sz w:val="24"/>
          <w:szCs w:val="24"/>
        </w:rPr>
      </w:pPr>
    </w:p>
    <w:p w14:paraId="2BA3FACC" w14:textId="77777777" w:rsidR="008203A8" w:rsidRPr="00255823" w:rsidRDefault="008203A8" w:rsidP="008203A8">
      <w:pPr>
        <w:jc w:val="both"/>
        <w:rPr>
          <w:sz w:val="24"/>
          <w:szCs w:val="24"/>
        </w:rPr>
      </w:pPr>
    </w:p>
    <w:p w14:paraId="4CD924C6" w14:textId="77777777" w:rsidR="008203A8" w:rsidRPr="00255823" w:rsidRDefault="008203A8" w:rsidP="008203A8">
      <w:pPr>
        <w:ind w:left="851" w:hanging="851"/>
        <w:rPr>
          <w:b/>
          <w:sz w:val="24"/>
          <w:szCs w:val="24"/>
        </w:rPr>
      </w:pPr>
      <w:r w:rsidRPr="00255823">
        <w:rPr>
          <w:b/>
          <w:sz w:val="24"/>
          <w:szCs w:val="24"/>
        </w:rPr>
        <w:t>0.</w:t>
      </w:r>
      <w:r w:rsidRPr="00255823">
        <w:rPr>
          <w:b/>
          <w:sz w:val="24"/>
          <w:szCs w:val="24"/>
        </w:rPr>
        <w:tab/>
        <w:t>D.SP.NR.</w:t>
      </w:r>
    </w:p>
    <w:p w14:paraId="41649067" w14:textId="567FAA82" w:rsidR="008203A8" w:rsidRPr="00255823" w:rsidRDefault="00D9074D" w:rsidP="008203A8">
      <w:pPr>
        <w:ind w:left="851"/>
        <w:rPr>
          <w:sz w:val="24"/>
          <w:szCs w:val="24"/>
        </w:rPr>
      </w:pPr>
      <w:r w:rsidRPr="00255823">
        <w:rPr>
          <w:sz w:val="24"/>
          <w:szCs w:val="24"/>
        </w:rPr>
        <w:t>29527</w:t>
      </w:r>
    </w:p>
    <w:p w14:paraId="4A049C67" w14:textId="77777777" w:rsidR="008203A8" w:rsidRPr="00255823" w:rsidRDefault="008203A8" w:rsidP="008203A8">
      <w:pPr>
        <w:ind w:left="851"/>
        <w:rPr>
          <w:sz w:val="24"/>
          <w:szCs w:val="24"/>
        </w:rPr>
      </w:pPr>
    </w:p>
    <w:p w14:paraId="2DF10538" w14:textId="77777777" w:rsidR="008203A8" w:rsidRPr="00255823" w:rsidRDefault="008203A8" w:rsidP="008203A8">
      <w:pPr>
        <w:ind w:left="851" w:hanging="851"/>
        <w:rPr>
          <w:b/>
          <w:sz w:val="24"/>
          <w:szCs w:val="24"/>
        </w:rPr>
      </w:pPr>
      <w:r w:rsidRPr="00255823">
        <w:rPr>
          <w:b/>
          <w:sz w:val="24"/>
          <w:szCs w:val="24"/>
        </w:rPr>
        <w:t>1.</w:t>
      </w:r>
      <w:r w:rsidRPr="00255823">
        <w:rPr>
          <w:b/>
          <w:sz w:val="24"/>
          <w:szCs w:val="24"/>
        </w:rPr>
        <w:tab/>
        <w:t>VETERINÆRLÆGEMIDLETS NAVN</w:t>
      </w:r>
    </w:p>
    <w:p w14:paraId="1261FB1B" w14:textId="07F15EF8" w:rsidR="008203A8" w:rsidRPr="00255823" w:rsidRDefault="00D9074D" w:rsidP="008203A8">
      <w:pPr>
        <w:ind w:left="851"/>
        <w:rPr>
          <w:sz w:val="24"/>
          <w:szCs w:val="24"/>
        </w:rPr>
      </w:pPr>
      <w:proofErr w:type="spellStart"/>
      <w:r w:rsidRPr="00255823">
        <w:rPr>
          <w:sz w:val="24"/>
          <w:szCs w:val="24"/>
        </w:rPr>
        <w:t>Vetmedin</w:t>
      </w:r>
      <w:proofErr w:type="spellEnd"/>
      <w:r w:rsidRPr="00255823">
        <w:rPr>
          <w:sz w:val="24"/>
          <w:szCs w:val="24"/>
        </w:rPr>
        <w:t xml:space="preserve"> </w:t>
      </w:r>
      <w:proofErr w:type="spellStart"/>
      <w:r w:rsidRPr="00255823">
        <w:rPr>
          <w:sz w:val="24"/>
          <w:szCs w:val="24"/>
        </w:rPr>
        <w:t>Vet</w:t>
      </w:r>
      <w:proofErr w:type="spellEnd"/>
      <w:r w:rsidRPr="00255823">
        <w:rPr>
          <w:sz w:val="24"/>
          <w:szCs w:val="24"/>
        </w:rPr>
        <w:t>.</w:t>
      </w:r>
    </w:p>
    <w:p w14:paraId="53EAF268" w14:textId="77777777" w:rsidR="008203A8" w:rsidRPr="00255823" w:rsidRDefault="008203A8" w:rsidP="008203A8">
      <w:pPr>
        <w:ind w:left="851"/>
        <w:rPr>
          <w:sz w:val="24"/>
          <w:szCs w:val="24"/>
        </w:rPr>
      </w:pPr>
    </w:p>
    <w:p w14:paraId="77625113" w14:textId="633C1E28" w:rsidR="008203A8" w:rsidRPr="00255823" w:rsidRDefault="008203A8" w:rsidP="008203A8">
      <w:pPr>
        <w:ind w:left="851"/>
        <w:rPr>
          <w:sz w:val="24"/>
          <w:szCs w:val="24"/>
        </w:rPr>
      </w:pPr>
      <w:r w:rsidRPr="00255823">
        <w:rPr>
          <w:sz w:val="24"/>
          <w:szCs w:val="24"/>
        </w:rPr>
        <w:t xml:space="preserve">Lægemiddelform: </w:t>
      </w:r>
      <w:r w:rsidR="00D9074D" w:rsidRPr="00255823">
        <w:rPr>
          <w:sz w:val="24"/>
          <w:szCs w:val="24"/>
        </w:rPr>
        <w:t>oral opløsning</w:t>
      </w:r>
    </w:p>
    <w:p w14:paraId="11CD492E" w14:textId="12EB5C23" w:rsidR="008203A8" w:rsidRPr="00255823" w:rsidRDefault="008203A8" w:rsidP="008203A8">
      <w:pPr>
        <w:ind w:left="851"/>
        <w:rPr>
          <w:sz w:val="24"/>
          <w:szCs w:val="24"/>
        </w:rPr>
      </w:pPr>
      <w:r w:rsidRPr="00255823">
        <w:rPr>
          <w:sz w:val="24"/>
          <w:szCs w:val="24"/>
        </w:rPr>
        <w:t xml:space="preserve">Styrke(r): </w:t>
      </w:r>
      <w:r w:rsidR="00D9074D" w:rsidRPr="00255823">
        <w:rPr>
          <w:sz w:val="24"/>
          <w:szCs w:val="24"/>
        </w:rPr>
        <w:t>1,5 mg/ml</w:t>
      </w:r>
    </w:p>
    <w:p w14:paraId="0B7D262E" w14:textId="77777777" w:rsidR="008203A8" w:rsidRPr="00255823" w:rsidRDefault="008203A8" w:rsidP="008203A8">
      <w:pPr>
        <w:ind w:left="851"/>
        <w:rPr>
          <w:sz w:val="24"/>
          <w:szCs w:val="24"/>
        </w:rPr>
      </w:pPr>
    </w:p>
    <w:p w14:paraId="5B2E7C97" w14:textId="77777777" w:rsidR="008203A8" w:rsidRPr="00255823" w:rsidRDefault="008203A8" w:rsidP="008203A8">
      <w:pPr>
        <w:ind w:left="851" w:hanging="851"/>
        <w:rPr>
          <w:b/>
          <w:sz w:val="24"/>
          <w:szCs w:val="24"/>
        </w:rPr>
      </w:pPr>
      <w:r w:rsidRPr="00255823">
        <w:rPr>
          <w:b/>
          <w:sz w:val="24"/>
          <w:szCs w:val="24"/>
        </w:rPr>
        <w:t>2.</w:t>
      </w:r>
      <w:r w:rsidRPr="00255823">
        <w:rPr>
          <w:b/>
          <w:sz w:val="24"/>
          <w:szCs w:val="24"/>
        </w:rPr>
        <w:tab/>
        <w:t>KVALITATIV OG KVANTITATIV SAMMENSÆTNING</w:t>
      </w:r>
    </w:p>
    <w:p w14:paraId="5FDF0F66" w14:textId="77777777" w:rsidR="00510B81" w:rsidRPr="00255823" w:rsidRDefault="00510B81" w:rsidP="00255823">
      <w:pPr>
        <w:ind w:left="851"/>
        <w:rPr>
          <w:sz w:val="24"/>
          <w:szCs w:val="24"/>
        </w:rPr>
      </w:pPr>
    </w:p>
    <w:p w14:paraId="0B5EAB2D" w14:textId="77777777" w:rsidR="00510B81" w:rsidRPr="00255823" w:rsidRDefault="00510B81" w:rsidP="00255823">
      <w:pPr>
        <w:ind w:left="851"/>
        <w:rPr>
          <w:bCs/>
          <w:sz w:val="24"/>
          <w:szCs w:val="24"/>
        </w:rPr>
      </w:pPr>
      <w:bookmarkStart w:id="1" w:name="_Hlk177043390"/>
      <w:r w:rsidRPr="00255823">
        <w:rPr>
          <w:bCs/>
          <w:sz w:val="24"/>
          <w:szCs w:val="24"/>
        </w:rPr>
        <w:t>Hver ml indeholder:</w:t>
      </w:r>
    </w:p>
    <w:p w14:paraId="49D99F22" w14:textId="77777777" w:rsidR="00510B81" w:rsidRPr="00255823" w:rsidRDefault="00510B81" w:rsidP="00255823">
      <w:pPr>
        <w:ind w:left="851"/>
        <w:rPr>
          <w:sz w:val="24"/>
          <w:szCs w:val="24"/>
        </w:rPr>
      </w:pPr>
    </w:p>
    <w:p w14:paraId="3CBAC7A0" w14:textId="77777777" w:rsidR="00510B81" w:rsidRPr="00255823" w:rsidRDefault="00510B81" w:rsidP="00255823">
      <w:pPr>
        <w:ind w:left="851"/>
        <w:rPr>
          <w:b/>
          <w:sz w:val="24"/>
          <w:szCs w:val="24"/>
        </w:rPr>
      </w:pPr>
      <w:r w:rsidRPr="00255823">
        <w:rPr>
          <w:b/>
          <w:sz w:val="24"/>
          <w:szCs w:val="24"/>
        </w:rPr>
        <w:t>Aktivt stof:</w:t>
      </w:r>
    </w:p>
    <w:p w14:paraId="64890AA8" w14:textId="77777777" w:rsidR="00510B81" w:rsidRPr="00255823" w:rsidRDefault="00510B81" w:rsidP="00255823">
      <w:pPr>
        <w:ind w:left="851"/>
        <w:rPr>
          <w:iCs/>
          <w:sz w:val="24"/>
          <w:szCs w:val="24"/>
        </w:rPr>
      </w:pPr>
      <w:proofErr w:type="spellStart"/>
      <w:r w:rsidRPr="00255823">
        <w:rPr>
          <w:iCs/>
          <w:sz w:val="24"/>
          <w:szCs w:val="24"/>
        </w:rPr>
        <w:t>Pimobendan</w:t>
      </w:r>
      <w:proofErr w:type="spellEnd"/>
      <w:r w:rsidRPr="00255823">
        <w:rPr>
          <w:iCs/>
          <w:sz w:val="24"/>
          <w:szCs w:val="24"/>
        </w:rPr>
        <w:t>: 1,5 mg</w:t>
      </w:r>
    </w:p>
    <w:bookmarkEnd w:id="1"/>
    <w:p w14:paraId="786ABE72" w14:textId="77777777" w:rsidR="00510B81" w:rsidRPr="00255823" w:rsidRDefault="00510B81" w:rsidP="00255823">
      <w:pPr>
        <w:ind w:left="851"/>
        <w:rPr>
          <w:sz w:val="24"/>
          <w:szCs w:val="24"/>
        </w:rPr>
      </w:pPr>
    </w:p>
    <w:p w14:paraId="32191F70" w14:textId="77777777" w:rsidR="00510B81" w:rsidRPr="00255823" w:rsidRDefault="00510B81" w:rsidP="00255823">
      <w:pPr>
        <w:ind w:left="851"/>
        <w:rPr>
          <w:sz w:val="24"/>
          <w:szCs w:val="24"/>
        </w:rPr>
      </w:pPr>
      <w:bookmarkStart w:id="2" w:name="_Hlk177043398"/>
      <w:r w:rsidRPr="00255823">
        <w:rPr>
          <w:b/>
          <w:sz w:val="24"/>
          <w:szCs w:val="24"/>
        </w:rPr>
        <w:t>Hjælpestoffer:</w:t>
      </w:r>
    </w:p>
    <w:bookmarkEnd w:id="2"/>
    <w:p w14:paraId="08D7E7A1" w14:textId="77777777" w:rsidR="00510B81" w:rsidRPr="00255823" w:rsidRDefault="00510B81" w:rsidP="00255823">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11"/>
        <w:gridCol w:w="4677"/>
      </w:tblGrid>
      <w:tr w:rsidR="00510B81" w:rsidRPr="00255823" w14:paraId="0C53F4EB" w14:textId="77777777" w:rsidTr="00255823">
        <w:tc>
          <w:tcPr>
            <w:tcW w:w="4111" w:type="dxa"/>
            <w:tcBorders>
              <w:top w:val="single" w:sz="4" w:space="0" w:color="000000"/>
              <w:left w:val="single" w:sz="4" w:space="0" w:color="000000"/>
              <w:bottom w:val="single" w:sz="4" w:space="0" w:color="000000"/>
              <w:right w:val="single" w:sz="4" w:space="0" w:color="000000"/>
            </w:tcBorders>
            <w:vAlign w:val="center"/>
            <w:hideMark/>
          </w:tcPr>
          <w:p w14:paraId="5DDDBA18" w14:textId="77777777" w:rsidR="00510B81" w:rsidRPr="00255823" w:rsidRDefault="00510B81">
            <w:pPr>
              <w:spacing w:before="60" w:after="60"/>
              <w:rPr>
                <w:b/>
                <w:bCs/>
                <w:iCs/>
                <w:sz w:val="24"/>
                <w:szCs w:val="24"/>
              </w:rPr>
            </w:pPr>
            <w:r w:rsidRPr="00255823">
              <w:rPr>
                <w:b/>
                <w:bCs/>
                <w:iCs/>
                <w:sz w:val="24"/>
                <w:szCs w:val="24"/>
              </w:rPr>
              <w:t>Kvalitativ sammensætning af hjælpestoffer og andre bestanddele</w:t>
            </w:r>
          </w:p>
        </w:tc>
        <w:tc>
          <w:tcPr>
            <w:tcW w:w="4677" w:type="dxa"/>
            <w:tcBorders>
              <w:top w:val="single" w:sz="4" w:space="0" w:color="000000"/>
              <w:left w:val="single" w:sz="4" w:space="0" w:color="000000"/>
              <w:bottom w:val="single" w:sz="4" w:space="0" w:color="000000"/>
              <w:right w:val="single" w:sz="4" w:space="0" w:color="000000"/>
            </w:tcBorders>
            <w:vAlign w:val="center"/>
            <w:hideMark/>
          </w:tcPr>
          <w:p w14:paraId="1E3903D0" w14:textId="77777777" w:rsidR="00510B81" w:rsidRPr="00255823" w:rsidRDefault="00510B81">
            <w:pPr>
              <w:spacing w:before="60" w:after="60"/>
              <w:rPr>
                <w:b/>
                <w:bCs/>
                <w:iCs/>
                <w:sz w:val="24"/>
                <w:szCs w:val="24"/>
              </w:rPr>
            </w:pPr>
            <w:r w:rsidRPr="00255823">
              <w:rPr>
                <w:b/>
                <w:bCs/>
                <w:iCs/>
                <w:sz w:val="24"/>
                <w:szCs w:val="24"/>
              </w:rPr>
              <w:t>Kvantitativ sammensætning, hvis oplysningen er vigtig for korrekt administration af veterinærlægemidlet</w:t>
            </w:r>
          </w:p>
        </w:tc>
      </w:tr>
      <w:tr w:rsidR="00510B81" w:rsidRPr="00255823" w14:paraId="3CCE26C1" w14:textId="77777777" w:rsidTr="00255823">
        <w:tc>
          <w:tcPr>
            <w:tcW w:w="4111" w:type="dxa"/>
            <w:tcBorders>
              <w:top w:val="single" w:sz="4" w:space="0" w:color="000000"/>
              <w:left w:val="single" w:sz="4" w:space="0" w:color="000000"/>
              <w:bottom w:val="single" w:sz="4" w:space="0" w:color="000000"/>
              <w:right w:val="single" w:sz="4" w:space="0" w:color="000000"/>
            </w:tcBorders>
            <w:vAlign w:val="center"/>
            <w:hideMark/>
          </w:tcPr>
          <w:p w14:paraId="0BE7913F" w14:textId="73F695EC" w:rsidR="00510B81" w:rsidRPr="00255823" w:rsidRDefault="00510B81">
            <w:pPr>
              <w:spacing w:before="60" w:after="60"/>
              <w:ind w:left="567" w:hanging="567"/>
              <w:rPr>
                <w:iCs/>
                <w:sz w:val="24"/>
                <w:szCs w:val="24"/>
              </w:rPr>
            </w:pPr>
            <w:bookmarkStart w:id="3" w:name="_Hlk177043410"/>
            <w:proofErr w:type="spellStart"/>
            <w:r w:rsidRPr="00255823">
              <w:rPr>
                <w:iCs/>
                <w:sz w:val="24"/>
                <w:szCs w:val="24"/>
              </w:rPr>
              <w:t>Sorbinsyre</w:t>
            </w:r>
            <w:proofErr w:type="spellEnd"/>
            <w:r w:rsidRPr="00255823">
              <w:rPr>
                <w:iCs/>
                <w:sz w:val="24"/>
                <w:szCs w:val="24"/>
              </w:rPr>
              <w:t xml:space="preserve"> (E200)</w:t>
            </w:r>
            <w:bookmarkEnd w:id="3"/>
          </w:p>
        </w:tc>
        <w:tc>
          <w:tcPr>
            <w:tcW w:w="4677" w:type="dxa"/>
            <w:tcBorders>
              <w:top w:val="single" w:sz="4" w:space="0" w:color="000000"/>
              <w:left w:val="single" w:sz="4" w:space="0" w:color="000000"/>
              <w:bottom w:val="single" w:sz="4" w:space="0" w:color="000000"/>
              <w:right w:val="single" w:sz="4" w:space="0" w:color="000000"/>
            </w:tcBorders>
            <w:vAlign w:val="center"/>
            <w:hideMark/>
          </w:tcPr>
          <w:p w14:paraId="4DBBE85D" w14:textId="77777777" w:rsidR="00510B81" w:rsidRPr="00255823" w:rsidRDefault="00510B81">
            <w:pPr>
              <w:spacing w:before="60" w:after="60"/>
              <w:rPr>
                <w:iCs/>
                <w:sz w:val="24"/>
                <w:szCs w:val="24"/>
              </w:rPr>
            </w:pPr>
            <w:r w:rsidRPr="00255823">
              <w:rPr>
                <w:iCs/>
                <w:sz w:val="24"/>
                <w:szCs w:val="24"/>
              </w:rPr>
              <w:t>3,0 mg</w:t>
            </w:r>
          </w:p>
        </w:tc>
      </w:tr>
      <w:tr w:rsidR="00510B81" w:rsidRPr="00255823" w14:paraId="2CE8ECE8" w14:textId="77777777" w:rsidTr="00255823">
        <w:tc>
          <w:tcPr>
            <w:tcW w:w="4111" w:type="dxa"/>
            <w:tcBorders>
              <w:top w:val="single" w:sz="4" w:space="0" w:color="000000"/>
              <w:left w:val="single" w:sz="4" w:space="0" w:color="000000"/>
              <w:bottom w:val="single" w:sz="4" w:space="0" w:color="000000"/>
              <w:right w:val="single" w:sz="4" w:space="0" w:color="000000"/>
            </w:tcBorders>
            <w:vAlign w:val="center"/>
            <w:hideMark/>
          </w:tcPr>
          <w:p w14:paraId="4BB19454" w14:textId="77777777" w:rsidR="00510B81" w:rsidRPr="00255823" w:rsidRDefault="00510B81">
            <w:pPr>
              <w:spacing w:before="60" w:after="60"/>
              <w:rPr>
                <w:iCs/>
                <w:sz w:val="24"/>
                <w:szCs w:val="24"/>
              </w:rPr>
            </w:pPr>
            <w:proofErr w:type="spellStart"/>
            <w:r w:rsidRPr="00255823">
              <w:rPr>
                <w:iCs/>
                <w:sz w:val="24"/>
                <w:szCs w:val="24"/>
              </w:rPr>
              <w:t>Hydroxyprolpylbetadex</w:t>
            </w:r>
            <w:proofErr w:type="spellEnd"/>
          </w:p>
        </w:tc>
        <w:tc>
          <w:tcPr>
            <w:tcW w:w="4677" w:type="dxa"/>
            <w:tcBorders>
              <w:top w:val="single" w:sz="4" w:space="0" w:color="000000"/>
              <w:left w:val="single" w:sz="4" w:space="0" w:color="000000"/>
              <w:bottom w:val="single" w:sz="4" w:space="0" w:color="000000"/>
              <w:right w:val="single" w:sz="4" w:space="0" w:color="000000"/>
            </w:tcBorders>
            <w:vAlign w:val="center"/>
          </w:tcPr>
          <w:p w14:paraId="769428AA" w14:textId="77777777" w:rsidR="00510B81" w:rsidRPr="00255823" w:rsidRDefault="00510B81">
            <w:pPr>
              <w:spacing w:before="60" w:after="60"/>
              <w:rPr>
                <w:iCs/>
                <w:sz w:val="24"/>
                <w:szCs w:val="24"/>
              </w:rPr>
            </w:pPr>
          </w:p>
        </w:tc>
      </w:tr>
      <w:tr w:rsidR="00510B81" w:rsidRPr="00255823" w14:paraId="23CD405C" w14:textId="77777777" w:rsidTr="00255823">
        <w:tc>
          <w:tcPr>
            <w:tcW w:w="4111" w:type="dxa"/>
            <w:tcBorders>
              <w:top w:val="single" w:sz="4" w:space="0" w:color="000000"/>
              <w:left w:val="single" w:sz="4" w:space="0" w:color="000000"/>
              <w:bottom w:val="single" w:sz="4" w:space="0" w:color="000000"/>
              <w:right w:val="single" w:sz="4" w:space="0" w:color="000000"/>
            </w:tcBorders>
            <w:vAlign w:val="center"/>
            <w:hideMark/>
          </w:tcPr>
          <w:p w14:paraId="7ED55087" w14:textId="77777777" w:rsidR="00510B81" w:rsidRPr="00255823" w:rsidRDefault="00510B81">
            <w:pPr>
              <w:spacing w:before="60" w:after="60"/>
              <w:rPr>
                <w:iCs/>
                <w:sz w:val="24"/>
                <w:szCs w:val="24"/>
              </w:rPr>
            </w:pPr>
            <w:proofErr w:type="spellStart"/>
            <w:r w:rsidRPr="00255823">
              <w:rPr>
                <w:iCs/>
                <w:sz w:val="24"/>
                <w:szCs w:val="24"/>
              </w:rPr>
              <w:t>Hypromellose</w:t>
            </w:r>
            <w:proofErr w:type="spellEnd"/>
          </w:p>
        </w:tc>
        <w:tc>
          <w:tcPr>
            <w:tcW w:w="4677" w:type="dxa"/>
            <w:tcBorders>
              <w:top w:val="single" w:sz="4" w:space="0" w:color="000000"/>
              <w:left w:val="single" w:sz="4" w:space="0" w:color="000000"/>
              <w:bottom w:val="single" w:sz="4" w:space="0" w:color="000000"/>
              <w:right w:val="single" w:sz="4" w:space="0" w:color="000000"/>
            </w:tcBorders>
            <w:vAlign w:val="center"/>
          </w:tcPr>
          <w:p w14:paraId="587F397C" w14:textId="77777777" w:rsidR="00510B81" w:rsidRPr="00255823" w:rsidRDefault="00510B81">
            <w:pPr>
              <w:spacing w:before="60" w:after="60"/>
              <w:rPr>
                <w:iCs/>
                <w:sz w:val="24"/>
                <w:szCs w:val="24"/>
              </w:rPr>
            </w:pPr>
          </w:p>
        </w:tc>
      </w:tr>
      <w:tr w:rsidR="00510B81" w:rsidRPr="00255823" w14:paraId="6A985415" w14:textId="77777777" w:rsidTr="00255823">
        <w:tc>
          <w:tcPr>
            <w:tcW w:w="4111" w:type="dxa"/>
            <w:tcBorders>
              <w:top w:val="single" w:sz="4" w:space="0" w:color="000000"/>
              <w:left w:val="single" w:sz="4" w:space="0" w:color="000000"/>
              <w:bottom w:val="single" w:sz="4" w:space="0" w:color="000000"/>
              <w:right w:val="single" w:sz="4" w:space="0" w:color="000000"/>
            </w:tcBorders>
            <w:vAlign w:val="center"/>
            <w:hideMark/>
          </w:tcPr>
          <w:p w14:paraId="142ADBFF" w14:textId="46728152" w:rsidR="00510B81" w:rsidRPr="00255823" w:rsidRDefault="00510B81">
            <w:pPr>
              <w:spacing w:before="60" w:after="60"/>
              <w:ind w:left="567" w:hanging="567"/>
              <w:rPr>
                <w:iCs/>
                <w:sz w:val="24"/>
                <w:szCs w:val="24"/>
              </w:rPr>
            </w:pPr>
            <w:bookmarkStart w:id="4" w:name="_Hlk177043425"/>
            <w:proofErr w:type="spellStart"/>
            <w:r w:rsidRPr="00255823">
              <w:rPr>
                <w:iCs/>
                <w:sz w:val="24"/>
                <w:szCs w:val="24"/>
              </w:rPr>
              <w:t>Ascorbinsyre</w:t>
            </w:r>
            <w:proofErr w:type="spellEnd"/>
            <w:r w:rsidRPr="00255823">
              <w:rPr>
                <w:iCs/>
                <w:sz w:val="24"/>
                <w:szCs w:val="24"/>
              </w:rPr>
              <w:t xml:space="preserve"> (E300)</w:t>
            </w:r>
            <w:bookmarkEnd w:id="4"/>
          </w:p>
        </w:tc>
        <w:tc>
          <w:tcPr>
            <w:tcW w:w="4677" w:type="dxa"/>
            <w:tcBorders>
              <w:top w:val="single" w:sz="4" w:space="0" w:color="000000"/>
              <w:left w:val="single" w:sz="4" w:space="0" w:color="000000"/>
              <w:bottom w:val="single" w:sz="4" w:space="0" w:color="000000"/>
              <w:right w:val="single" w:sz="4" w:space="0" w:color="000000"/>
            </w:tcBorders>
            <w:vAlign w:val="center"/>
            <w:hideMark/>
          </w:tcPr>
          <w:p w14:paraId="4B467F8E" w14:textId="77777777" w:rsidR="00510B81" w:rsidRPr="00255823" w:rsidRDefault="00510B81">
            <w:pPr>
              <w:spacing w:before="60" w:after="60"/>
              <w:rPr>
                <w:iCs/>
                <w:sz w:val="24"/>
                <w:szCs w:val="24"/>
              </w:rPr>
            </w:pPr>
            <w:r w:rsidRPr="00255823">
              <w:rPr>
                <w:iCs/>
                <w:sz w:val="24"/>
                <w:szCs w:val="24"/>
              </w:rPr>
              <w:t>7,0 mg</w:t>
            </w:r>
          </w:p>
        </w:tc>
      </w:tr>
      <w:tr w:rsidR="00510B81" w:rsidRPr="00255823" w14:paraId="13C03443" w14:textId="77777777" w:rsidTr="00255823">
        <w:tc>
          <w:tcPr>
            <w:tcW w:w="4111" w:type="dxa"/>
            <w:tcBorders>
              <w:top w:val="single" w:sz="4" w:space="0" w:color="000000"/>
              <w:left w:val="single" w:sz="4" w:space="0" w:color="000000"/>
              <w:bottom w:val="single" w:sz="4" w:space="0" w:color="000000"/>
              <w:right w:val="single" w:sz="4" w:space="0" w:color="000000"/>
            </w:tcBorders>
            <w:vAlign w:val="center"/>
            <w:hideMark/>
          </w:tcPr>
          <w:p w14:paraId="70DEA03D" w14:textId="77777777" w:rsidR="00510B81" w:rsidRPr="00255823" w:rsidRDefault="00510B81">
            <w:pPr>
              <w:spacing w:before="60" w:after="60"/>
              <w:ind w:left="567" w:hanging="567"/>
              <w:rPr>
                <w:iCs/>
                <w:sz w:val="24"/>
                <w:szCs w:val="24"/>
              </w:rPr>
            </w:pPr>
            <w:r w:rsidRPr="00255823">
              <w:rPr>
                <w:iCs/>
                <w:sz w:val="24"/>
                <w:szCs w:val="24"/>
              </w:rPr>
              <w:t>Saltsyre, fortyndet (til pH justering)</w:t>
            </w:r>
          </w:p>
        </w:tc>
        <w:tc>
          <w:tcPr>
            <w:tcW w:w="4677" w:type="dxa"/>
            <w:tcBorders>
              <w:top w:val="single" w:sz="4" w:space="0" w:color="000000"/>
              <w:left w:val="single" w:sz="4" w:space="0" w:color="000000"/>
              <w:bottom w:val="single" w:sz="4" w:space="0" w:color="000000"/>
              <w:right w:val="single" w:sz="4" w:space="0" w:color="000000"/>
            </w:tcBorders>
            <w:vAlign w:val="center"/>
          </w:tcPr>
          <w:p w14:paraId="27B6329B" w14:textId="77777777" w:rsidR="00510B81" w:rsidRPr="00255823" w:rsidRDefault="00510B81">
            <w:pPr>
              <w:spacing w:before="60" w:after="60"/>
              <w:rPr>
                <w:iCs/>
                <w:sz w:val="24"/>
                <w:szCs w:val="24"/>
              </w:rPr>
            </w:pPr>
          </w:p>
        </w:tc>
      </w:tr>
      <w:tr w:rsidR="00510B81" w:rsidRPr="00255823" w14:paraId="3774C794" w14:textId="77777777" w:rsidTr="00255823">
        <w:tc>
          <w:tcPr>
            <w:tcW w:w="4111" w:type="dxa"/>
            <w:tcBorders>
              <w:top w:val="single" w:sz="4" w:space="0" w:color="000000"/>
              <w:left w:val="single" w:sz="4" w:space="0" w:color="000000"/>
              <w:bottom w:val="single" w:sz="4" w:space="0" w:color="000000"/>
              <w:right w:val="single" w:sz="4" w:space="0" w:color="000000"/>
            </w:tcBorders>
            <w:vAlign w:val="center"/>
            <w:hideMark/>
          </w:tcPr>
          <w:p w14:paraId="4FA19A8C" w14:textId="77777777" w:rsidR="00510B81" w:rsidRPr="00255823" w:rsidRDefault="00510B81">
            <w:pPr>
              <w:spacing w:before="60" w:after="60"/>
              <w:ind w:left="567" w:hanging="567"/>
              <w:rPr>
                <w:iCs/>
                <w:sz w:val="24"/>
                <w:szCs w:val="24"/>
              </w:rPr>
            </w:pPr>
            <w:r w:rsidRPr="00255823">
              <w:rPr>
                <w:iCs/>
                <w:sz w:val="24"/>
                <w:szCs w:val="24"/>
              </w:rPr>
              <w:t>Natriumhydroxid (til pH justering)</w:t>
            </w:r>
          </w:p>
        </w:tc>
        <w:tc>
          <w:tcPr>
            <w:tcW w:w="4677" w:type="dxa"/>
            <w:tcBorders>
              <w:top w:val="single" w:sz="4" w:space="0" w:color="000000"/>
              <w:left w:val="single" w:sz="4" w:space="0" w:color="000000"/>
              <w:bottom w:val="single" w:sz="4" w:space="0" w:color="000000"/>
              <w:right w:val="single" w:sz="4" w:space="0" w:color="000000"/>
            </w:tcBorders>
            <w:vAlign w:val="center"/>
          </w:tcPr>
          <w:p w14:paraId="05B2CD25" w14:textId="77777777" w:rsidR="00510B81" w:rsidRPr="00255823" w:rsidRDefault="00510B81">
            <w:pPr>
              <w:spacing w:before="60" w:after="60"/>
              <w:rPr>
                <w:iCs/>
                <w:sz w:val="24"/>
                <w:szCs w:val="24"/>
              </w:rPr>
            </w:pPr>
          </w:p>
        </w:tc>
      </w:tr>
      <w:tr w:rsidR="00510B81" w:rsidRPr="00255823" w14:paraId="6722E591" w14:textId="77777777" w:rsidTr="00255823">
        <w:tc>
          <w:tcPr>
            <w:tcW w:w="4111" w:type="dxa"/>
            <w:tcBorders>
              <w:top w:val="single" w:sz="4" w:space="0" w:color="000000"/>
              <w:left w:val="single" w:sz="4" w:space="0" w:color="000000"/>
              <w:bottom w:val="single" w:sz="4" w:space="0" w:color="000000"/>
              <w:right w:val="single" w:sz="4" w:space="0" w:color="000000"/>
            </w:tcBorders>
            <w:vAlign w:val="center"/>
            <w:hideMark/>
          </w:tcPr>
          <w:p w14:paraId="16194904" w14:textId="77777777" w:rsidR="00510B81" w:rsidRPr="00255823" w:rsidRDefault="00510B81">
            <w:pPr>
              <w:spacing w:before="60" w:after="60"/>
              <w:rPr>
                <w:iCs/>
                <w:sz w:val="24"/>
                <w:szCs w:val="24"/>
              </w:rPr>
            </w:pPr>
            <w:r w:rsidRPr="00255823">
              <w:rPr>
                <w:iCs/>
                <w:sz w:val="24"/>
                <w:szCs w:val="24"/>
              </w:rPr>
              <w:t>Vand, renset</w:t>
            </w:r>
          </w:p>
        </w:tc>
        <w:tc>
          <w:tcPr>
            <w:tcW w:w="4677" w:type="dxa"/>
            <w:tcBorders>
              <w:top w:val="single" w:sz="4" w:space="0" w:color="000000"/>
              <w:left w:val="single" w:sz="4" w:space="0" w:color="000000"/>
              <w:bottom w:val="single" w:sz="4" w:space="0" w:color="000000"/>
              <w:right w:val="single" w:sz="4" w:space="0" w:color="000000"/>
            </w:tcBorders>
            <w:vAlign w:val="center"/>
          </w:tcPr>
          <w:p w14:paraId="6312E688" w14:textId="77777777" w:rsidR="00510B81" w:rsidRPr="00255823" w:rsidRDefault="00510B81">
            <w:pPr>
              <w:spacing w:before="60" w:after="60"/>
              <w:rPr>
                <w:iCs/>
                <w:sz w:val="24"/>
                <w:szCs w:val="24"/>
              </w:rPr>
            </w:pPr>
          </w:p>
        </w:tc>
      </w:tr>
    </w:tbl>
    <w:p w14:paraId="40CDD6AC" w14:textId="77777777" w:rsidR="00510B81" w:rsidRPr="00255823" w:rsidRDefault="00510B81" w:rsidP="00255823">
      <w:pPr>
        <w:ind w:left="851"/>
        <w:rPr>
          <w:sz w:val="24"/>
          <w:szCs w:val="24"/>
        </w:rPr>
      </w:pPr>
    </w:p>
    <w:p w14:paraId="33B16D03" w14:textId="77777777" w:rsidR="00510B81" w:rsidRPr="00255823" w:rsidRDefault="00510B81" w:rsidP="00255823">
      <w:pPr>
        <w:ind w:left="851"/>
        <w:rPr>
          <w:sz w:val="24"/>
          <w:szCs w:val="24"/>
        </w:rPr>
      </w:pPr>
      <w:bookmarkStart w:id="5" w:name="_Hlk177043441"/>
      <w:r w:rsidRPr="00255823">
        <w:rPr>
          <w:sz w:val="24"/>
          <w:szCs w:val="24"/>
        </w:rPr>
        <w:t>Klar, farveløs til gul til let grøn til let brun opløsning.</w:t>
      </w:r>
      <w:bookmarkEnd w:id="5"/>
    </w:p>
    <w:p w14:paraId="28C1E5DF" w14:textId="77777777" w:rsidR="008203A8" w:rsidRPr="00255823" w:rsidRDefault="008203A8" w:rsidP="008203A8">
      <w:pPr>
        <w:ind w:left="851"/>
        <w:rPr>
          <w:sz w:val="24"/>
          <w:szCs w:val="24"/>
        </w:rPr>
      </w:pPr>
    </w:p>
    <w:p w14:paraId="319C672A" w14:textId="77777777" w:rsidR="008203A8" w:rsidRPr="00255823" w:rsidRDefault="008203A8" w:rsidP="008203A8">
      <w:pPr>
        <w:ind w:left="851"/>
        <w:rPr>
          <w:sz w:val="24"/>
          <w:szCs w:val="24"/>
        </w:rPr>
      </w:pPr>
    </w:p>
    <w:p w14:paraId="582E9737" w14:textId="77777777" w:rsidR="008203A8" w:rsidRPr="00255823" w:rsidRDefault="008203A8" w:rsidP="008203A8">
      <w:pPr>
        <w:ind w:left="851" w:hanging="851"/>
        <w:rPr>
          <w:b/>
          <w:sz w:val="24"/>
          <w:szCs w:val="24"/>
        </w:rPr>
      </w:pPr>
      <w:r w:rsidRPr="00255823">
        <w:rPr>
          <w:b/>
          <w:sz w:val="24"/>
          <w:szCs w:val="24"/>
        </w:rPr>
        <w:t>3.</w:t>
      </w:r>
      <w:r w:rsidRPr="00255823">
        <w:rPr>
          <w:b/>
          <w:sz w:val="24"/>
          <w:szCs w:val="24"/>
        </w:rPr>
        <w:tab/>
        <w:t>KLINISKE OPLYSNINGER</w:t>
      </w:r>
    </w:p>
    <w:p w14:paraId="0E6BF479" w14:textId="77777777" w:rsidR="008203A8" w:rsidRPr="00255823" w:rsidRDefault="008203A8" w:rsidP="008203A8">
      <w:pPr>
        <w:tabs>
          <w:tab w:val="left" w:pos="851"/>
        </w:tabs>
        <w:ind w:left="851"/>
        <w:rPr>
          <w:sz w:val="24"/>
          <w:szCs w:val="24"/>
        </w:rPr>
      </w:pPr>
    </w:p>
    <w:p w14:paraId="5E8E711D" w14:textId="77777777" w:rsidR="008203A8" w:rsidRPr="00255823" w:rsidRDefault="008203A8" w:rsidP="008203A8">
      <w:pPr>
        <w:ind w:left="851" w:hanging="851"/>
        <w:rPr>
          <w:b/>
          <w:sz w:val="24"/>
          <w:szCs w:val="24"/>
          <w:u w:val="single"/>
        </w:rPr>
      </w:pPr>
      <w:r w:rsidRPr="00255823">
        <w:rPr>
          <w:b/>
          <w:sz w:val="24"/>
          <w:szCs w:val="24"/>
        </w:rPr>
        <w:t>3.1</w:t>
      </w:r>
      <w:r w:rsidRPr="00255823">
        <w:rPr>
          <w:b/>
          <w:sz w:val="24"/>
          <w:szCs w:val="24"/>
        </w:rPr>
        <w:tab/>
        <w:t>Dyrearter, som lægemidlet er beregnet til</w:t>
      </w:r>
    </w:p>
    <w:p w14:paraId="35E85A0A" w14:textId="77777777" w:rsidR="00510B81" w:rsidRPr="00255823" w:rsidRDefault="00510B81" w:rsidP="00255823">
      <w:pPr>
        <w:ind w:left="851"/>
        <w:rPr>
          <w:sz w:val="24"/>
          <w:szCs w:val="24"/>
        </w:rPr>
      </w:pPr>
      <w:r w:rsidRPr="00255823">
        <w:rPr>
          <w:sz w:val="24"/>
          <w:szCs w:val="24"/>
        </w:rPr>
        <w:t>Hund</w:t>
      </w:r>
    </w:p>
    <w:p w14:paraId="37A1EE2A" w14:textId="77777777" w:rsidR="008203A8" w:rsidRPr="00255823" w:rsidRDefault="008203A8" w:rsidP="008203A8">
      <w:pPr>
        <w:ind w:left="851"/>
        <w:rPr>
          <w:sz w:val="24"/>
          <w:szCs w:val="24"/>
        </w:rPr>
      </w:pPr>
    </w:p>
    <w:p w14:paraId="5A3A8C42" w14:textId="77777777" w:rsidR="008203A8" w:rsidRPr="00255823" w:rsidRDefault="008203A8" w:rsidP="008203A8">
      <w:pPr>
        <w:pStyle w:val="Sidehoved"/>
        <w:tabs>
          <w:tab w:val="clear" w:pos="4819"/>
        </w:tabs>
        <w:ind w:left="851" w:hanging="851"/>
        <w:rPr>
          <w:b/>
          <w:szCs w:val="24"/>
        </w:rPr>
      </w:pPr>
      <w:r w:rsidRPr="00255823">
        <w:rPr>
          <w:b/>
          <w:szCs w:val="24"/>
        </w:rPr>
        <w:t>3.2</w:t>
      </w:r>
      <w:r w:rsidRPr="00255823">
        <w:rPr>
          <w:b/>
          <w:szCs w:val="24"/>
        </w:rPr>
        <w:tab/>
        <w:t>Terapeutiske indikationer for hver dyreart, som lægemidlet er beregnet til</w:t>
      </w:r>
    </w:p>
    <w:p w14:paraId="380FDB7A" w14:textId="77777777" w:rsidR="00510B81" w:rsidRPr="00255823" w:rsidRDefault="00510B81" w:rsidP="00255823">
      <w:pPr>
        <w:ind w:left="851"/>
        <w:rPr>
          <w:sz w:val="24"/>
          <w:szCs w:val="24"/>
        </w:rPr>
      </w:pPr>
      <w:bookmarkStart w:id="6" w:name="_Hlk177043460"/>
      <w:r w:rsidRPr="00255823">
        <w:rPr>
          <w:sz w:val="24"/>
          <w:szCs w:val="24"/>
        </w:rPr>
        <w:t xml:space="preserve">Behandling af kongestiv hjerteinsufficiens hos hund forårsaget af </w:t>
      </w:r>
      <w:proofErr w:type="spellStart"/>
      <w:r w:rsidRPr="00255823">
        <w:rPr>
          <w:sz w:val="24"/>
          <w:szCs w:val="24"/>
        </w:rPr>
        <w:t>dilateret</w:t>
      </w:r>
      <w:proofErr w:type="spellEnd"/>
      <w:r w:rsidRPr="00255823">
        <w:rPr>
          <w:sz w:val="24"/>
          <w:szCs w:val="24"/>
        </w:rPr>
        <w:t xml:space="preserve"> </w:t>
      </w:r>
      <w:proofErr w:type="spellStart"/>
      <w:r w:rsidRPr="00255823">
        <w:rPr>
          <w:sz w:val="24"/>
          <w:szCs w:val="24"/>
        </w:rPr>
        <w:t>kardiomyopati</w:t>
      </w:r>
      <w:proofErr w:type="spellEnd"/>
      <w:r w:rsidRPr="00255823">
        <w:rPr>
          <w:sz w:val="24"/>
          <w:szCs w:val="24"/>
        </w:rPr>
        <w:t xml:space="preserve"> (DCM) eller </w:t>
      </w:r>
      <w:proofErr w:type="spellStart"/>
      <w:r w:rsidRPr="00255823">
        <w:rPr>
          <w:sz w:val="24"/>
          <w:szCs w:val="24"/>
        </w:rPr>
        <w:t>valvulær</w:t>
      </w:r>
      <w:proofErr w:type="spellEnd"/>
      <w:r w:rsidRPr="00255823">
        <w:rPr>
          <w:sz w:val="24"/>
          <w:szCs w:val="24"/>
        </w:rPr>
        <w:t xml:space="preserve"> insufficiens (</w:t>
      </w:r>
      <w:proofErr w:type="spellStart"/>
      <w:r w:rsidRPr="00255823">
        <w:rPr>
          <w:sz w:val="24"/>
          <w:szCs w:val="24"/>
        </w:rPr>
        <w:t>mitral</w:t>
      </w:r>
      <w:proofErr w:type="spellEnd"/>
      <w:r w:rsidRPr="00255823">
        <w:rPr>
          <w:sz w:val="24"/>
          <w:szCs w:val="24"/>
        </w:rPr>
        <w:t xml:space="preserve"> og/eller </w:t>
      </w:r>
      <w:proofErr w:type="spellStart"/>
      <w:r w:rsidRPr="00255823">
        <w:rPr>
          <w:sz w:val="24"/>
          <w:szCs w:val="24"/>
        </w:rPr>
        <w:t>trikuspidal</w:t>
      </w:r>
      <w:proofErr w:type="spellEnd"/>
      <w:r w:rsidRPr="00255823">
        <w:rPr>
          <w:sz w:val="24"/>
          <w:szCs w:val="24"/>
        </w:rPr>
        <w:t xml:space="preserve"> </w:t>
      </w:r>
      <w:proofErr w:type="spellStart"/>
      <w:r w:rsidRPr="00255823">
        <w:rPr>
          <w:sz w:val="24"/>
          <w:szCs w:val="24"/>
        </w:rPr>
        <w:t>regurgitation</w:t>
      </w:r>
      <w:proofErr w:type="spellEnd"/>
      <w:r w:rsidRPr="00255823">
        <w:rPr>
          <w:sz w:val="24"/>
          <w:szCs w:val="24"/>
        </w:rPr>
        <w:t xml:space="preserve">). </w:t>
      </w:r>
    </w:p>
    <w:p w14:paraId="5363A432" w14:textId="77777777" w:rsidR="00510B81" w:rsidRPr="00255823" w:rsidRDefault="00510B81" w:rsidP="00255823">
      <w:pPr>
        <w:ind w:left="851"/>
        <w:rPr>
          <w:sz w:val="24"/>
          <w:szCs w:val="24"/>
        </w:rPr>
      </w:pPr>
    </w:p>
    <w:p w14:paraId="309EF9F1" w14:textId="77777777" w:rsidR="00510B81" w:rsidRPr="00255823" w:rsidRDefault="00510B81" w:rsidP="00255823">
      <w:pPr>
        <w:ind w:left="851"/>
        <w:rPr>
          <w:sz w:val="24"/>
          <w:szCs w:val="24"/>
        </w:rPr>
      </w:pPr>
      <w:r w:rsidRPr="00255823">
        <w:rPr>
          <w:sz w:val="24"/>
          <w:szCs w:val="24"/>
        </w:rPr>
        <w:t xml:space="preserve">Behandling af </w:t>
      </w:r>
      <w:proofErr w:type="spellStart"/>
      <w:r w:rsidRPr="00255823">
        <w:rPr>
          <w:sz w:val="24"/>
          <w:szCs w:val="24"/>
        </w:rPr>
        <w:t>dilateret</w:t>
      </w:r>
      <w:proofErr w:type="spellEnd"/>
      <w:r w:rsidRPr="00255823">
        <w:rPr>
          <w:sz w:val="24"/>
          <w:szCs w:val="24"/>
        </w:rPr>
        <w:t xml:space="preserve"> </w:t>
      </w:r>
      <w:proofErr w:type="spellStart"/>
      <w:r w:rsidRPr="00255823">
        <w:rPr>
          <w:sz w:val="24"/>
          <w:szCs w:val="24"/>
        </w:rPr>
        <w:t>kardiomyopati</w:t>
      </w:r>
      <w:proofErr w:type="spellEnd"/>
      <w:r w:rsidRPr="00255823">
        <w:rPr>
          <w:sz w:val="24"/>
          <w:szCs w:val="24"/>
        </w:rPr>
        <w:t xml:space="preserve"> i det prækliniske stadie (asymptomatisk med en forøgelse af venstre ventrikels slut-systoliske og slut-diastoliske diameter) hos </w:t>
      </w:r>
      <w:proofErr w:type="spellStart"/>
      <w:r w:rsidRPr="00255823">
        <w:rPr>
          <w:sz w:val="24"/>
          <w:szCs w:val="24"/>
        </w:rPr>
        <w:t>dobermann</w:t>
      </w:r>
      <w:proofErr w:type="spellEnd"/>
      <w:r w:rsidRPr="00255823">
        <w:rPr>
          <w:sz w:val="24"/>
          <w:szCs w:val="24"/>
        </w:rPr>
        <w:t xml:space="preserve"> pinscher efter ekkokardiografisk diagnosticering af hjertesygdom. </w:t>
      </w:r>
      <w:bookmarkEnd w:id="6"/>
    </w:p>
    <w:p w14:paraId="5C8AE226" w14:textId="77777777" w:rsidR="008203A8" w:rsidRPr="00255823" w:rsidRDefault="008203A8" w:rsidP="008203A8">
      <w:pPr>
        <w:pStyle w:val="Sidehoved"/>
        <w:ind w:left="851"/>
        <w:rPr>
          <w:szCs w:val="24"/>
        </w:rPr>
      </w:pPr>
    </w:p>
    <w:p w14:paraId="5712C2F1" w14:textId="77777777" w:rsidR="008203A8" w:rsidRPr="00255823" w:rsidRDefault="008203A8" w:rsidP="008203A8">
      <w:pPr>
        <w:pStyle w:val="Sidehoved"/>
        <w:tabs>
          <w:tab w:val="clear" w:pos="4819"/>
          <w:tab w:val="left" w:pos="851"/>
        </w:tabs>
        <w:ind w:left="851" w:hanging="851"/>
        <w:rPr>
          <w:b/>
          <w:szCs w:val="24"/>
        </w:rPr>
      </w:pPr>
      <w:r w:rsidRPr="00255823">
        <w:rPr>
          <w:b/>
          <w:szCs w:val="24"/>
        </w:rPr>
        <w:t>3.3</w:t>
      </w:r>
      <w:r w:rsidRPr="00255823">
        <w:rPr>
          <w:b/>
          <w:szCs w:val="24"/>
        </w:rPr>
        <w:tab/>
        <w:t>Kontraindikationer</w:t>
      </w:r>
    </w:p>
    <w:p w14:paraId="7ABDB563" w14:textId="77777777" w:rsidR="00510B81" w:rsidRPr="00255823" w:rsidRDefault="00510B81" w:rsidP="00255823">
      <w:pPr>
        <w:ind w:left="851"/>
        <w:rPr>
          <w:sz w:val="24"/>
          <w:szCs w:val="24"/>
        </w:rPr>
      </w:pPr>
      <w:bookmarkStart w:id="7" w:name="_Hlk177043541"/>
      <w:proofErr w:type="spellStart"/>
      <w:r w:rsidRPr="00255823">
        <w:rPr>
          <w:sz w:val="24"/>
          <w:szCs w:val="24"/>
        </w:rPr>
        <w:t>Pimobendan</w:t>
      </w:r>
      <w:proofErr w:type="spellEnd"/>
      <w:r w:rsidRPr="00255823">
        <w:rPr>
          <w:sz w:val="24"/>
          <w:szCs w:val="24"/>
        </w:rPr>
        <w:t xml:space="preserve"> må ikke anvendes ved </w:t>
      </w:r>
      <w:proofErr w:type="spellStart"/>
      <w:r w:rsidRPr="00255823">
        <w:rPr>
          <w:sz w:val="24"/>
          <w:szCs w:val="24"/>
        </w:rPr>
        <w:t>hypertrofisk</w:t>
      </w:r>
      <w:proofErr w:type="spellEnd"/>
      <w:r w:rsidRPr="00255823">
        <w:rPr>
          <w:sz w:val="24"/>
          <w:szCs w:val="24"/>
        </w:rPr>
        <w:t xml:space="preserve"> </w:t>
      </w:r>
      <w:proofErr w:type="spellStart"/>
      <w:r w:rsidRPr="00255823">
        <w:rPr>
          <w:sz w:val="24"/>
          <w:szCs w:val="24"/>
        </w:rPr>
        <w:t>kardiomyopati</w:t>
      </w:r>
      <w:proofErr w:type="spellEnd"/>
      <w:r w:rsidRPr="00255823">
        <w:rPr>
          <w:sz w:val="24"/>
          <w:szCs w:val="24"/>
        </w:rPr>
        <w:t xml:space="preserve"> eller kliniske tilstande, hvor en forøgelse af minutvolumen umuliggøres af funktionelle eller anatomiske årsager (f.eks. aorta stenose).</w:t>
      </w:r>
    </w:p>
    <w:p w14:paraId="5AE48781" w14:textId="77777777" w:rsidR="00510B81" w:rsidRPr="00255823" w:rsidRDefault="00510B81" w:rsidP="00255823">
      <w:pPr>
        <w:ind w:left="851"/>
        <w:rPr>
          <w:sz w:val="24"/>
          <w:szCs w:val="24"/>
        </w:rPr>
      </w:pPr>
      <w:r w:rsidRPr="00255823">
        <w:rPr>
          <w:sz w:val="24"/>
          <w:szCs w:val="24"/>
        </w:rPr>
        <w:t>Må ikke anvendes i tilfælde af svært nedsat leverfunktion</w:t>
      </w:r>
      <w:bookmarkStart w:id="8" w:name="_Hlk191894967"/>
      <w:r w:rsidRPr="00255823">
        <w:rPr>
          <w:sz w:val="24"/>
          <w:szCs w:val="24"/>
        </w:rPr>
        <w:t xml:space="preserve">, da </w:t>
      </w:r>
      <w:proofErr w:type="spellStart"/>
      <w:r w:rsidRPr="00255823">
        <w:rPr>
          <w:sz w:val="24"/>
          <w:szCs w:val="24"/>
        </w:rPr>
        <w:t>pimobendan</w:t>
      </w:r>
      <w:proofErr w:type="spellEnd"/>
      <w:r w:rsidRPr="00255823">
        <w:rPr>
          <w:sz w:val="24"/>
          <w:szCs w:val="24"/>
        </w:rPr>
        <w:t xml:space="preserve"> hovedsageligt </w:t>
      </w:r>
      <w:proofErr w:type="spellStart"/>
      <w:r w:rsidRPr="00255823">
        <w:rPr>
          <w:sz w:val="24"/>
          <w:szCs w:val="24"/>
        </w:rPr>
        <w:t>metaboliseres</w:t>
      </w:r>
      <w:proofErr w:type="spellEnd"/>
      <w:r w:rsidRPr="00255823">
        <w:rPr>
          <w:sz w:val="24"/>
          <w:szCs w:val="24"/>
        </w:rPr>
        <w:t xml:space="preserve"> via leveren.</w:t>
      </w:r>
      <w:bookmarkEnd w:id="8"/>
    </w:p>
    <w:p w14:paraId="0C2F597A" w14:textId="77777777" w:rsidR="00510B81" w:rsidRPr="00255823" w:rsidRDefault="00510B81" w:rsidP="00255823">
      <w:pPr>
        <w:ind w:left="851"/>
        <w:rPr>
          <w:sz w:val="24"/>
          <w:szCs w:val="24"/>
        </w:rPr>
      </w:pPr>
      <w:r w:rsidRPr="00255823">
        <w:rPr>
          <w:sz w:val="24"/>
          <w:szCs w:val="24"/>
        </w:rPr>
        <w:t>Må ikke anvendes i tilfælde af overfølsomhed over for det aktive stof, eller over for et eller flere af hjælpestofferne.</w:t>
      </w:r>
    </w:p>
    <w:bookmarkEnd w:id="7"/>
    <w:p w14:paraId="346A27AD" w14:textId="77777777" w:rsidR="008203A8" w:rsidRPr="00255823" w:rsidRDefault="008203A8" w:rsidP="008203A8">
      <w:pPr>
        <w:pStyle w:val="Sidehoved"/>
        <w:tabs>
          <w:tab w:val="clear" w:pos="4819"/>
        </w:tabs>
        <w:ind w:left="851"/>
        <w:rPr>
          <w:szCs w:val="24"/>
        </w:rPr>
      </w:pPr>
    </w:p>
    <w:p w14:paraId="6780DF1A" w14:textId="77777777" w:rsidR="008203A8" w:rsidRPr="00255823" w:rsidRDefault="008203A8" w:rsidP="008203A8">
      <w:pPr>
        <w:tabs>
          <w:tab w:val="left" w:pos="851"/>
        </w:tabs>
        <w:ind w:left="851" w:hanging="851"/>
        <w:rPr>
          <w:b/>
          <w:sz w:val="24"/>
          <w:szCs w:val="24"/>
        </w:rPr>
      </w:pPr>
      <w:r w:rsidRPr="00255823">
        <w:rPr>
          <w:b/>
          <w:sz w:val="24"/>
          <w:szCs w:val="24"/>
        </w:rPr>
        <w:t>3.4</w:t>
      </w:r>
      <w:r w:rsidRPr="00255823">
        <w:rPr>
          <w:b/>
          <w:sz w:val="24"/>
          <w:szCs w:val="24"/>
        </w:rPr>
        <w:tab/>
        <w:t>Særlige advarsler</w:t>
      </w:r>
    </w:p>
    <w:p w14:paraId="17714301" w14:textId="77777777" w:rsidR="00510B81" w:rsidRPr="00255823" w:rsidRDefault="00510B81" w:rsidP="00255823">
      <w:pPr>
        <w:ind w:left="851"/>
        <w:rPr>
          <w:sz w:val="24"/>
          <w:szCs w:val="24"/>
        </w:rPr>
      </w:pPr>
      <w:bookmarkStart w:id="9" w:name="_Hlk177043562"/>
      <w:r w:rsidRPr="00255823">
        <w:rPr>
          <w:sz w:val="24"/>
          <w:szCs w:val="24"/>
        </w:rPr>
        <w:t xml:space="preserve">Veterinærlægemidlet er ikke testet i tilfælde af asymptomatisk </w:t>
      </w:r>
      <w:proofErr w:type="spellStart"/>
      <w:r w:rsidRPr="00255823">
        <w:rPr>
          <w:sz w:val="24"/>
          <w:szCs w:val="24"/>
        </w:rPr>
        <w:t>dilateret</w:t>
      </w:r>
      <w:proofErr w:type="spellEnd"/>
      <w:r w:rsidRPr="00255823">
        <w:rPr>
          <w:sz w:val="24"/>
          <w:szCs w:val="24"/>
        </w:rPr>
        <w:t xml:space="preserve"> </w:t>
      </w:r>
      <w:proofErr w:type="spellStart"/>
      <w:r w:rsidRPr="00255823">
        <w:rPr>
          <w:sz w:val="24"/>
          <w:szCs w:val="24"/>
        </w:rPr>
        <w:t>kardiomyopati</w:t>
      </w:r>
      <w:proofErr w:type="spellEnd"/>
      <w:r w:rsidRPr="00255823">
        <w:rPr>
          <w:sz w:val="24"/>
          <w:szCs w:val="24"/>
        </w:rPr>
        <w:t xml:space="preserve"> (DCM) hos </w:t>
      </w:r>
      <w:proofErr w:type="spellStart"/>
      <w:r w:rsidRPr="00255823">
        <w:rPr>
          <w:sz w:val="24"/>
          <w:szCs w:val="24"/>
        </w:rPr>
        <w:t>dobermann</w:t>
      </w:r>
      <w:proofErr w:type="spellEnd"/>
      <w:r w:rsidRPr="00255823">
        <w:rPr>
          <w:sz w:val="24"/>
          <w:szCs w:val="24"/>
        </w:rPr>
        <w:t xml:space="preserve"> med </w:t>
      </w:r>
      <w:proofErr w:type="spellStart"/>
      <w:r w:rsidRPr="00255823">
        <w:rPr>
          <w:sz w:val="24"/>
          <w:szCs w:val="24"/>
        </w:rPr>
        <w:t>atrieflimmer</w:t>
      </w:r>
      <w:proofErr w:type="spellEnd"/>
      <w:r w:rsidRPr="00255823">
        <w:rPr>
          <w:sz w:val="24"/>
          <w:szCs w:val="24"/>
        </w:rPr>
        <w:t xml:space="preserve"> eller vedvarende </w:t>
      </w:r>
      <w:proofErr w:type="spellStart"/>
      <w:r w:rsidRPr="00255823">
        <w:rPr>
          <w:sz w:val="24"/>
          <w:szCs w:val="24"/>
        </w:rPr>
        <w:t>ventrikulær</w:t>
      </w:r>
      <w:proofErr w:type="spellEnd"/>
      <w:r w:rsidRPr="00255823">
        <w:rPr>
          <w:sz w:val="24"/>
          <w:szCs w:val="24"/>
        </w:rPr>
        <w:t xml:space="preserve"> </w:t>
      </w:r>
      <w:proofErr w:type="spellStart"/>
      <w:r w:rsidRPr="00255823">
        <w:rPr>
          <w:sz w:val="24"/>
          <w:szCs w:val="24"/>
        </w:rPr>
        <w:t>takykardi</w:t>
      </w:r>
      <w:proofErr w:type="spellEnd"/>
      <w:r w:rsidRPr="00255823">
        <w:rPr>
          <w:sz w:val="24"/>
          <w:szCs w:val="24"/>
        </w:rPr>
        <w:t>.</w:t>
      </w:r>
      <w:bookmarkEnd w:id="9"/>
    </w:p>
    <w:p w14:paraId="3A9AAB2D" w14:textId="77777777" w:rsidR="008203A8" w:rsidRPr="00255823" w:rsidRDefault="008203A8" w:rsidP="008203A8">
      <w:pPr>
        <w:pStyle w:val="Sidehoved"/>
        <w:tabs>
          <w:tab w:val="clear" w:pos="4819"/>
        </w:tabs>
        <w:ind w:left="851"/>
        <w:rPr>
          <w:szCs w:val="24"/>
        </w:rPr>
      </w:pPr>
    </w:p>
    <w:p w14:paraId="5AA5C1C0" w14:textId="77777777" w:rsidR="008203A8" w:rsidRPr="00255823" w:rsidRDefault="008203A8" w:rsidP="008203A8">
      <w:pPr>
        <w:tabs>
          <w:tab w:val="left" w:pos="851"/>
        </w:tabs>
        <w:ind w:left="851" w:hanging="851"/>
        <w:rPr>
          <w:b/>
          <w:sz w:val="24"/>
          <w:szCs w:val="24"/>
        </w:rPr>
      </w:pPr>
      <w:r w:rsidRPr="00255823">
        <w:rPr>
          <w:b/>
          <w:sz w:val="24"/>
          <w:szCs w:val="24"/>
        </w:rPr>
        <w:t>3.5</w:t>
      </w:r>
      <w:r w:rsidRPr="00255823">
        <w:rPr>
          <w:b/>
          <w:sz w:val="24"/>
          <w:szCs w:val="24"/>
        </w:rPr>
        <w:tab/>
        <w:t>Særlige forholdsregler vedrørende brugen</w:t>
      </w:r>
    </w:p>
    <w:p w14:paraId="2406CBE0" w14:textId="77777777" w:rsidR="008203A8" w:rsidRPr="00255823" w:rsidRDefault="008203A8" w:rsidP="008203A8">
      <w:pPr>
        <w:tabs>
          <w:tab w:val="left" w:pos="851"/>
        </w:tabs>
        <w:ind w:left="851"/>
        <w:rPr>
          <w:sz w:val="24"/>
          <w:szCs w:val="24"/>
        </w:rPr>
      </w:pPr>
    </w:p>
    <w:p w14:paraId="33C82425" w14:textId="77777777" w:rsidR="008203A8" w:rsidRPr="00255823" w:rsidRDefault="008203A8" w:rsidP="008203A8">
      <w:pPr>
        <w:tabs>
          <w:tab w:val="left" w:pos="851"/>
        </w:tabs>
        <w:ind w:left="851"/>
        <w:rPr>
          <w:sz w:val="24"/>
          <w:szCs w:val="24"/>
          <w:u w:val="single"/>
        </w:rPr>
      </w:pPr>
      <w:r w:rsidRPr="00255823">
        <w:rPr>
          <w:sz w:val="24"/>
          <w:szCs w:val="24"/>
          <w:u w:val="single"/>
        </w:rPr>
        <w:t>Særlige forholdsregler vedrørende sikker brug hos de dyrearter, som lægemidlet er beregnet til</w:t>
      </w:r>
    </w:p>
    <w:p w14:paraId="4C2B27C5" w14:textId="77777777" w:rsidR="00510B81" w:rsidRPr="00255823" w:rsidRDefault="00510B81" w:rsidP="00255823">
      <w:pPr>
        <w:ind w:left="851"/>
        <w:rPr>
          <w:sz w:val="24"/>
          <w:szCs w:val="24"/>
        </w:rPr>
      </w:pPr>
      <w:bookmarkStart w:id="10" w:name="_Hlk177043611"/>
      <w:r w:rsidRPr="00255823">
        <w:rPr>
          <w:sz w:val="24"/>
          <w:szCs w:val="24"/>
        </w:rPr>
        <w:t xml:space="preserve">Blodglukose skal kontrolleres regelmæssigt under behandling med </w:t>
      </w:r>
      <w:proofErr w:type="spellStart"/>
      <w:r w:rsidRPr="00255823">
        <w:rPr>
          <w:sz w:val="24"/>
          <w:szCs w:val="24"/>
        </w:rPr>
        <w:t>pimobendan</w:t>
      </w:r>
      <w:proofErr w:type="spellEnd"/>
      <w:r w:rsidRPr="00255823">
        <w:rPr>
          <w:sz w:val="24"/>
          <w:szCs w:val="24"/>
        </w:rPr>
        <w:t xml:space="preserve"> hos hunde med diagnosticeret diabetes mellitus. </w:t>
      </w:r>
    </w:p>
    <w:p w14:paraId="2EA189BC" w14:textId="77777777" w:rsidR="00510B81" w:rsidRPr="00255823" w:rsidRDefault="00510B81" w:rsidP="00255823">
      <w:pPr>
        <w:ind w:left="851"/>
        <w:rPr>
          <w:sz w:val="24"/>
          <w:szCs w:val="24"/>
        </w:rPr>
      </w:pPr>
      <w:r w:rsidRPr="00255823">
        <w:rPr>
          <w:sz w:val="24"/>
          <w:szCs w:val="24"/>
        </w:rPr>
        <w:t xml:space="preserve">Ved behandling af </w:t>
      </w:r>
      <w:proofErr w:type="spellStart"/>
      <w:r w:rsidRPr="00255823">
        <w:rPr>
          <w:sz w:val="24"/>
          <w:szCs w:val="24"/>
        </w:rPr>
        <w:t>dilateret</w:t>
      </w:r>
      <w:proofErr w:type="spellEnd"/>
      <w:r w:rsidRPr="00255823">
        <w:rPr>
          <w:sz w:val="24"/>
          <w:szCs w:val="24"/>
        </w:rPr>
        <w:t xml:space="preserve"> </w:t>
      </w:r>
      <w:proofErr w:type="spellStart"/>
      <w:r w:rsidRPr="00255823">
        <w:rPr>
          <w:sz w:val="24"/>
          <w:szCs w:val="24"/>
        </w:rPr>
        <w:t>kardiomyopati</w:t>
      </w:r>
      <w:proofErr w:type="spellEnd"/>
      <w:r w:rsidRPr="00255823">
        <w:rPr>
          <w:sz w:val="24"/>
          <w:szCs w:val="24"/>
        </w:rPr>
        <w:t xml:space="preserve"> (DCM) i det prækliniske stadie (asymptomatisk med en forøgelse af venstre ventrikels slut-systoliske og slut-diastoliske diameter), skal diagnosen baseres på en omfattende hjerteundersøgelse (inkl. ekkokardiografisk undersøgelse og evt. </w:t>
      </w:r>
      <w:proofErr w:type="spellStart"/>
      <w:r w:rsidRPr="00255823">
        <w:rPr>
          <w:sz w:val="24"/>
          <w:szCs w:val="24"/>
        </w:rPr>
        <w:t>Holter</w:t>
      </w:r>
      <w:proofErr w:type="spellEnd"/>
      <w:r w:rsidRPr="00255823">
        <w:rPr>
          <w:sz w:val="24"/>
          <w:szCs w:val="24"/>
        </w:rPr>
        <w:t>-monitorering).</w:t>
      </w:r>
    </w:p>
    <w:p w14:paraId="062DAA9F" w14:textId="77777777" w:rsidR="00510B81" w:rsidRPr="00255823" w:rsidRDefault="00510B81" w:rsidP="00255823">
      <w:pPr>
        <w:ind w:left="851"/>
        <w:rPr>
          <w:sz w:val="24"/>
          <w:szCs w:val="24"/>
        </w:rPr>
      </w:pPr>
    </w:p>
    <w:p w14:paraId="20F74784" w14:textId="77777777" w:rsidR="00510B81" w:rsidRPr="00255823" w:rsidRDefault="00510B81" w:rsidP="00255823">
      <w:pPr>
        <w:ind w:left="851"/>
        <w:rPr>
          <w:sz w:val="24"/>
          <w:szCs w:val="24"/>
        </w:rPr>
      </w:pPr>
      <w:r w:rsidRPr="00255823">
        <w:rPr>
          <w:sz w:val="24"/>
          <w:szCs w:val="24"/>
        </w:rPr>
        <w:t xml:space="preserve">Det anbefales at hjertefunktion og -morfologi overvåges hos dyr, der behandles med </w:t>
      </w:r>
      <w:proofErr w:type="spellStart"/>
      <w:r w:rsidRPr="00255823">
        <w:rPr>
          <w:sz w:val="24"/>
          <w:szCs w:val="24"/>
        </w:rPr>
        <w:t>pimobendan</w:t>
      </w:r>
      <w:proofErr w:type="spellEnd"/>
      <w:r w:rsidRPr="00255823">
        <w:rPr>
          <w:sz w:val="24"/>
          <w:szCs w:val="24"/>
        </w:rPr>
        <w:t>.</w:t>
      </w:r>
      <w:bookmarkEnd w:id="10"/>
    </w:p>
    <w:p w14:paraId="72E9CBE9" w14:textId="77777777" w:rsidR="008203A8" w:rsidRPr="00255823" w:rsidRDefault="008203A8" w:rsidP="008203A8">
      <w:pPr>
        <w:tabs>
          <w:tab w:val="left" w:pos="851"/>
        </w:tabs>
        <w:ind w:left="851"/>
        <w:rPr>
          <w:sz w:val="24"/>
          <w:szCs w:val="24"/>
        </w:rPr>
      </w:pPr>
    </w:p>
    <w:p w14:paraId="0E40A641" w14:textId="77777777" w:rsidR="008203A8" w:rsidRPr="00255823" w:rsidRDefault="008203A8" w:rsidP="008203A8">
      <w:pPr>
        <w:tabs>
          <w:tab w:val="left" w:pos="851"/>
        </w:tabs>
        <w:ind w:left="851"/>
        <w:rPr>
          <w:sz w:val="24"/>
          <w:szCs w:val="24"/>
          <w:u w:val="single"/>
        </w:rPr>
      </w:pPr>
      <w:r w:rsidRPr="00255823">
        <w:rPr>
          <w:sz w:val="24"/>
          <w:szCs w:val="24"/>
          <w:u w:val="single"/>
        </w:rPr>
        <w:t>Særlige forholdsregler for personer, der administrerer veterinærlægemidlet til dyr</w:t>
      </w:r>
    </w:p>
    <w:p w14:paraId="69313E2E" w14:textId="77777777" w:rsidR="00510B81" w:rsidRPr="00255823" w:rsidRDefault="00510B81" w:rsidP="00255823">
      <w:pPr>
        <w:ind w:left="851"/>
        <w:rPr>
          <w:sz w:val="24"/>
          <w:szCs w:val="24"/>
        </w:rPr>
      </w:pPr>
      <w:bookmarkStart w:id="11" w:name="_Hlk191895208"/>
      <w:bookmarkStart w:id="12" w:name="_Hlk177043623"/>
      <w:r w:rsidRPr="00255823">
        <w:rPr>
          <w:sz w:val="24"/>
          <w:szCs w:val="24"/>
        </w:rPr>
        <w:t xml:space="preserve">Ved overfølsomhed over for </w:t>
      </w:r>
      <w:proofErr w:type="spellStart"/>
      <w:r w:rsidRPr="00255823">
        <w:rPr>
          <w:sz w:val="24"/>
          <w:szCs w:val="24"/>
        </w:rPr>
        <w:t>pimobendan</w:t>
      </w:r>
      <w:proofErr w:type="spellEnd"/>
      <w:r w:rsidRPr="00255823">
        <w:rPr>
          <w:sz w:val="24"/>
          <w:szCs w:val="24"/>
        </w:rPr>
        <w:t xml:space="preserve"> eller over for nogle af hjælpestofferne bør kontakt med veterinærlægemidlet undgås.</w:t>
      </w:r>
    </w:p>
    <w:bookmarkEnd w:id="11"/>
    <w:p w14:paraId="212B59E8" w14:textId="77777777" w:rsidR="00510B81" w:rsidRPr="00255823" w:rsidRDefault="00510B81" w:rsidP="00255823">
      <w:pPr>
        <w:ind w:left="851"/>
        <w:rPr>
          <w:sz w:val="24"/>
          <w:szCs w:val="24"/>
        </w:rPr>
      </w:pPr>
    </w:p>
    <w:p w14:paraId="1724E20A" w14:textId="77777777" w:rsidR="00510B81" w:rsidRPr="00255823" w:rsidRDefault="00510B81" w:rsidP="00255823">
      <w:pPr>
        <w:ind w:left="851"/>
        <w:rPr>
          <w:sz w:val="24"/>
          <w:szCs w:val="24"/>
        </w:rPr>
      </w:pPr>
      <w:r w:rsidRPr="00255823">
        <w:rPr>
          <w:sz w:val="24"/>
          <w:szCs w:val="24"/>
        </w:rPr>
        <w:t xml:space="preserve">Dette veterinærlægemiddel kan forårsage hud- og øjenirritation. Undgå kontakt med hud og øjne. I tilfælde af kontakt med øjnene eller spild på huden skylles straks grundigt med vand. </w:t>
      </w:r>
      <w:r w:rsidRPr="00255823">
        <w:rPr>
          <w:sz w:val="24"/>
          <w:szCs w:val="24"/>
        </w:rPr>
        <w:br/>
        <w:t>Vask hænder efter brug.</w:t>
      </w:r>
    </w:p>
    <w:p w14:paraId="7D005B6B" w14:textId="77777777" w:rsidR="00510B81" w:rsidRPr="00255823" w:rsidRDefault="00510B81" w:rsidP="00255823">
      <w:pPr>
        <w:ind w:left="851"/>
        <w:rPr>
          <w:sz w:val="24"/>
          <w:szCs w:val="24"/>
        </w:rPr>
      </w:pPr>
    </w:p>
    <w:p w14:paraId="11C00425" w14:textId="77777777" w:rsidR="00510B81" w:rsidRPr="00255823" w:rsidRDefault="00510B81" w:rsidP="00255823">
      <w:pPr>
        <w:ind w:left="851"/>
        <w:rPr>
          <w:sz w:val="24"/>
          <w:szCs w:val="24"/>
        </w:rPr>
      </w:pPr>
      <w:r w:rsidRPr="00255823">
        <w:rPr>
          <w:sz w:val="24"/>
          <w:szCs w:val="24"/>
        </w:rPr>
        <w:lastRenderedPageBreak/>
        <w:t xml:space="preserve">Utilsigtet indtagelse, især hos børn, kan medføre </w:t>
      </w:r>
      <w:proofErr w:type="spellStart"/>
      <w:r w:rsidRPr="00255823">
        <w:rPr>
          <w:sz w:val="24"/>
          <w:szCs w:val="24"/>
        </w:rPr>
        <w:t>takykardi</w:t>
      </w:r>
      <w:proofErr w:type="spellEnd"/>
      <w:r w:rsidRPr="00255823">
        <w:rPr>
          <w:sz w:val="24"/>
          <w:szCs w:val="24"/>
        </w:rPr>
        <w:t xml:space="preserve">, </w:t>
      </w:r>
      <w:proofErr w:type="spellStart"/>
      <w:r w:rsidRPr="00255823">
        <w:rPr>
          <w:sz w:val="24"/>
          <w:szCs w:val="24"/>
        </w:rPr>
        <w:t>ortostatisk</w:t>
      </w:r>
      <w:proofErr w:type="spellEnd"/>
      <w:r w:rsidRPr="00255823">
        <w:rPr>
          <w:sz w:val="24"/>
          <w:szCs w:val="24"/>
        </w:rPr>
        <w:t xml:space="preserve"> hypotension, ansigtsrødmen og hovedpine.</w:t>
      </w:r>
    </w:p>
    <w:p w14:paraId="0E6BC50E" w14:textId="77777777" w:rsidR="00510B81" w:rsidRPr="00255823" w:rsidRDefault="00510B81" w:rsidP="00255823">
      <w:pPr>
        <w:ind w:left="851"/>
        <w:rPr>
          <w:sz w:val="24"/>
          <w:szCs w:val="24"/>
        </w:rPr>
      </w:pPr>
      <w:bookmarkStart w:id="13" w:name="_Hlk191895377"/>
      <w:r w:rsidRPr="00255823">
        <w:rPr>
          <w:sz w:val="24"/>
          <w:szCs w:val="24"/>
        </w:rPr>
        <w:t>For at undgå utilsigtet indtagelse, bør en fyldt sprøjte ikke efterlades uden opsyn og flasken og den brugte sprøjte bør opbevares i den originale æske for at forhindre børn i at få adgang til veterinærlægemidlet.</w:t>
      </w:r>
    </w:p>
    <w:p w14:paraId="577353BF" w14:textId="77777777" w:rsidR="00510B81" w:rsidRPr="00255823" w:rsidRDefault="00510B81" w:rsidP="00255823">
      <w:pPr>
        <w:ind w:left="851"/>
        <w:rPr>
          <w:sz w:val="24"/>
          <w:szCs w:val="24"/>
        </w:rPr>
      </w:pPr>
      <w:bookmarkStart w:id="14" w:name="_Hlk188531469"/>
      <w:bookmarkEnd w:id="13"/>
      <w:r w:rsidRPr="00255823">
        <w:rPr>
          <w:sz w:val="24"/>
          <w:szCs w:val="24"/>
        </w:rPr>
        <w:t>Luk flasken stramt til med låget umiddelbart efter at den ønskede mængde opløsning er fjernet.</w:t>
      </w:r>
    </w:p>
    <w:p w14:paraId="7E609FEC" w14:textId="77777777" w:rsidR="00510B81" w:rsidRPr="00255823" w:rsidRDefault="00510B81" w:rsidP="00255823">
      <w:pPr>
        <w:ind w:left="851"/>
        <w:rPr>
          <w:sz w:val="24"/>
          <w:szCs w:val="24"/>
        </w:rPr>
      </w:pPr>
      <w:bookmarkStart w:id="15" w:name="_Hlk191895460"/>
      <w:bookmarkEnd w:id="14"/>
      <w:r w:rsidRPr="00255823">
        <w:rPr>
          <w:sz w:val="24"/>
          <w:szCs w:val="24"/>
        </w:rPr>
        <w:t>Veterinærlægemidlet skal bruges og opbevares utilgængeligt for børn.</w:t>
      </w:r>
      <w:bookmarkEnd w:id="15"/>
    </w:p>
    <w:p w14:paraId="5BE42342" w14:textId="77777777" w:rsidR="00510B81" w:rsidRPr="00255823" w:rsidRDefault="00510B81" w:rsidP="00255823">
      <w:pPr>
        <w:ind w:left="851"/>
        <w:rPr>
          <w:sz w:val="24"/>
          <w:szCs w:val="24"/>
        </w:rPr>
      </w:pPr>
      <w:r w:rsidRPr="00255823">
        <w:rPr>
          <w:sz w:val="24"/>
          <w:szCs w:val="24"/>
        </w:rPr>
        <w:t>I tilfælde af utilsigtet indtagelse skal der straks søges lægehjælp, og indlægssedlen eller etiketten bør vises til lægen.</w:t>
      </w:r>
      <w:bookmarkEnd w:id="12"/>
    </w:p>
    <w:p w14:paraId="0CB52260" w14:textId="77777777" w:rsidR="008203A8" w:rsidRPr="00255823" w:rsidRDefault="008203A8" w:rsidP="008203A8">
      <w:pPr>
        <w:tabs>
          <w:tab w:val="left" w:pos="851"/>
        </w:tabs>
        <w:ind w:left="851"/>
        <w:rPr>
          <w:sz w:val="24"/>
          <w:szCs w:val="24"/>
        </w:rPr>
      </w:pPr>
    </w:p>
    <w:p w14:paraId="1BF47500" w14:textId="77777777" w:rsidR="008203A8" w:rsidRPr="00255823" w:rsidRDefault="008203A8" w:rsidP="008203A8">
      <w:pPr>
        <w:tabs>
          <w:tab w:val="left" w:pos="851"/>
        </w:tabs>
        <w:ind w:left="851"/>
        <w:rPr>
          <w:sz w:val="24"/>
          <w:szCs w:val="24"/>
          <w:u w:val="single"/>
        </w:rPr>
      </w:pPr>
      <w:r w:rsidRPr="00255823">
        <w:rPr>
          <w:sz w:val="24"/>
          <w:szCs w:val="24"/>
          <w:u w:val="single"/>
        </w:rPr>
        <w:t>Særlige forholdsregler vedrørende beskyttelse af miljøet</w:t>
      </w:r>
    </w:p>
    <w:p w14:paraId="3EE06205" w14:textId="77777777" w:rsidR="00510B81" w:rsidRPr="00255823" w:rsidRDefault="00510B81" w:rsidP="00255823">
      <w:pPr>
        <w:ind w:left="851"/>
        <w:rPr>
          <w:sz w:val="24"/>
          <w:szCs w:val="24"/>
        </w:rPr>
      </w:pPr>
      <w:r w:rsidRPr="00255823">
        <w:rPr>
          <w:sz w:val="24"/>
          <w:szCs w:val="24"/>
        </w:rPr>
        <w:t>Ikke relevant.</w:t>
      </w:r>
    </w:p>
    <w:p w14:paraId="011A449A" w14:textId="77777777" w:rsidR="008203A8" w:rsidRPr="00255823" w:rsidRDefault="008203A8" w:rsidP="008203A8">
      <w:pPr>
        <w:tabs>
          <w:tab w:val="left" w:pos="851"/>
        </w:tabs>
        <w:ind w:left="851"/>
        <w:rPr>
          <w:sz w:val="24"/>
          <w:szCs w:val="24"/>
        </w:rPr>
      </w:pPr>
    </w:p>
    <w:p w14:paraId="67C68A7B" w14:textId="77777777" w:rsidR="008203A8" w:rsidRPr="00255823" w:rsidRDefault="008203A8" w:rsidP="008203A8">
      <w:pPr>
        <w:tabs>
          <w:tab w:val="left" w:pos="851"/>
        </w:tabs>
        <w:ind w:left="851" w:hanging="851"/>
        <w:rPr>
          <w:b/>
          <w:sz w:val="24"/>
          <w:szCs w:val="24"/>
        </w:rPr>
      </w:pPr>
      <w:r w:rsidRPr="00255823">
        <w:rPr>
          <w:b/>
          <w:sz w:val="24"/>
          <w:szCs w:val="24"/>
        </w:rPr>
        <w:t>3.6</w:t>
      </w:r>
      <w:r w:rsidRPr="00255823">
        <w:rPr>
          <w:b/>
          <w:sz w:val="24"/>
          <w:szCs w:val="24"/>
        </w:rPr>
        <w:tab/>
        <w:t>Bivirkninger</w:t>
      </w:r>
    </w:p>
    <w:p w14:paraId="39DBE2F9" w14:textId="77777777" w:rsidR="00510B81" w:rsidRPr="00255823" w:rsidRDefault="00510B81" w:rsidP="00255823">
      <w:pPr>
        <w:ind w:left="851"/>
        <w:rPr>
          <w:sz w:val="24"/>
          <w:szCs w:val="24"/>
        </w:rPr>
      </w:pPr>
      <w:r w:rsidRPr="00255823">
        <w:rPr>
          <w:sz w:val="24"/>
          <w:szCs w:val="24"/>
        </w:rPr>
        <w:t>Hund:</w:t>
      </w:r>
    </w:p>
    <w:p w14:paraId="439F4E30" w14:textId="77777777" w:rsidR="00510B81" w:rsidRPr="00255823" w:rsidRDefault="00510B81" w:rsidP="00255823">
      <w:pPr>
        <w:ind w:left="851"/>
        <w:rPr>
          <w:sz w:val="24"/>
          <w:szCs w:val="24"/>
        </w:rPr>
      </w:pPr>
    </w:p>
    <w:tbl>
      <w:tblPr>
        <w:tblW w:w="4560"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89"/>
        <w:gridCol w:w="5392"/>
      </w:tblGrid>
      <w:tr w:rsidR="00510B81" w:rsidRPr="00255823" w14:paraId="12296591" w14:textId="77777777" w:rsidTr="00255823">
        <w:tc>
          <w:tcPr>
            <w:tcW w:w="1930" w:type="pct"/>
            <w:tcBorders>
              <w:top w:val="single" w:sz="4" w:space="0" w:color="auto"/>
              <w:left w:val="single" w:sz="4" w:space="0" w:color="auto"/>
              <w:bottom w:val="single" w:sz="4" w:space="0" w:color="auto"/>
              <w:right w:val="single" w:sz="4" w:space="0" w:color="auto"/>
            </w:tcBorders>
            <w:hideMark/>
          </w:tcPr>
          <w:p w14:paraId="51875836" w14:textId="77777777" w:rsidR="00510B81" w:rsidRPr="00255823" w:rsidRDefault="00510B81">
            <w:pPr>
              <w:spacing w:before="60" w:after="60"/>
              <w:ind w:left="27" w:hanging="27"/>
              <w:rPr>
                <w:sz w:val="24"/>
                <w:szCs w:val="24"/>
              </w:rPr>
            </w:pPr>
            <w:r w:rsidRPr="00255823">
              <w:rPr>
                <w:sz w:val="24"/>
                <w:szCs w:val="24"/>
              </w:rPr>
              <w:t>Sjælden</w:t>
            </w:r>
          </w:p>
          <w:p w14:paraId="504FE21D" w14:textId="77777777" w:rsidR="00510B81" w:rsidRPr="00255823" w:rsidRDefault="00510B81">
            <w:pPr>
              <w:spacing w:before="60" w:after="60"/>
              <w:ind w:left="27" w:hanging="27"/>
              <w:rPr>
                <w:sz w:val="24"/>
                <w:szCs w:val="24"/>
              </w:rPr>
            </w:pPr>
            <w:r w:rsidRPr="00255823">
              <w:rPr>
                <w:sz w:val="24"/>
                <w:szCs w:val="24"/>
              </w:rPr>
              <w:t>(1 til 10 dyr ud af 10.000 behandlede dyr):</w:t>
            </w:r>
          </w:p>
        </w:tc>
        <w:tc>
          <w:tcPr>
            <w:tcW w:w="3070" w:type="pct"/>
            <w:tcBorders>
              <w:top w:val="single" w:sz="4" w:space="0" w:color="auto"/>
              <w:left w:val="single" w:sz="4" w:space="0" w:color="auto"/>
              <w:bottom w:val="single" w:sz="4" w:space="0" w:color="auto"/>
              <w:right w:val="single" w:sz="4" w:space="0" w:color="auto"/>
            </w:tcBorders>
            <w:hideMark/>
          </w:tcPr>
          <w:p w14:paraId="23A24BDA" w14:textId="77777777" w:rsidR="00510B81" w:rsidRPr="00255823" w:rsidRDefault="00510B81">
            <w:pPr>
              <w:tabs>
                <w:tab w:val="left" w:pos="720"/>
              </w:tabs>
              <w:spacing w:before="60" w:after="60"/>
              <w:ind w:left="323" w:hanging="323"/>
              <w:rPr>
                <w:rFonts w:eastAsia="Calibri"/>
                <w:sz w:val="24"/>
                <w:szCs w:val="24"/>
              </w:rPr>
            </w:pPr>
            <w:r w:rsidRPr="00255823">
              <w:rPr>
                <w:sz w:val="24"/>
                <w:szCs w:val="24"/>
              </w:rPr>
              <w:t>-</w:t>
            </w:r>
            <w:r w:rsidRPr="00255823">
              <w:rPr>
                <w:sz w:val="24"/>
                <w:szCs w:val="24"/>
              </w:rPr>
              <w:tab/>
              <w:t>Opkastning</w:t>
            </w:r>
            <w:r w:rsidRPr="00255823">
              <w:rPr>
                <w:rFonts w:eastAsia="Calibri"/>
                <w:sz w:val="24"/>
                <w:szCs w:val="24"/>
                <w:vertAlign w:val="superscript"/>
              </w:rPr>
              <w:t>1</w:t>
            </w:r>
            <w:r w:rsidRPr="00255823">
              <w:rPr>
                <w:sz w:val="24"/>
                <w:szCs w:val="24"/>
              </w:rPr>
              <w:t>, diarré</w:t>
            </w:r>
            <w:r w:rsidRPr="00255823">
              <w:rPr>
                <w:sz w:val="24"/>
                <w:szCs w:val="24"/>
                <w:vertAlign w:val="superscript"/>
              </w:rPr>
              <w:t>2</w:t>
            </w:r>
          </w:p>
          <w:p w14:paraId="2444B174" w14:textId="77777777" w:rsidR="00510B81" w:rsidRPr="00255823" w:rsidRDefault="00510B81">
            <w:pPr>
              <w:spacing w:before="60" w:after="60"/>
              <w:ind w:left="323" w:hanging="323"/>
              <w:jc w:val="both"/>
              <w:rPr>
                <w:sz w:val="24"/>
                <w:szCs w:val="24"/>
                <w:vertAlign w:val="superscript"/>
              </w:rPr>
            </w:pPr>
            <w:r w:rsidRPr="00255823">
              <w:rPr>
                <w:sz w:val="24"/>
                <w:szCs w:val="24"/>
              </w:rPr>
              <w:t>-</w:t>
            </w:r>
            <w:r w:rsidRPr="00255823">
              <w:rPr>
                <w:sz w:val="24"/>
                <w:szCs w:val="24"/>
              </w:rPr>
              <w:tab/>
              <w:t>Anoreksi</w:t>
            </w:r>
            <w:r w:rsidRPr="00255823">
              <w:rPr>
                <w:sz w:val="24"/>
                <w:szCs w:val="24"/>
                <w:vertAlign w:val="superscript"/>
              </w:rPr>
              <w:t>2</w:t>
            </w:r>
            <w:r w:rsidRPr="00255823">
              <w:rPr>
                <w:sz w:val="24"/>
                <w:szCs w:val="24"/>
              </w:rPr>
              <w:t>, letargi</w:t>
            </w:r>
            <w:r w:rsidRPr="00255823">
              <w:rPr>
                <w:sz w:val="24"/>
                <w:szCs w:val="24"/>
                <w:vertAlign w:val="superscript"/>
              </w:rPr>
              <w:t xml:space="preserve">2 </w:t>
            </w:r>
          </w:p>
          <w:p w14:paraId="7A587F03" w14:textId="77777777" w:rsidR="00510B81" w:rsidRPr="00255823" w:rsidRDefault="00510B81">
            <w:pPr>
              <w:spacing w:before="60" w:after="60"/>
              <w:ind w:left="323" w:hanging="323"/>
              <w:jc w:val="both"/>
              <w:rPr>
                <w:sz w:val="24"/>
                <w:szCs w:val="24"/>
                <w:vertAlign w:val="superscript"/>
              </w:rPr>
            </w:pPr>
            <w:r w:rsidRPr="00255823">
              <w:rPr>
                <w:sz w:val="24"/>
                <w:szCs w:val="24"/>
              </w:rPr>
              <w:t>-</w:t>
            </w:r>
            <w:r w:rsidRPr="00255823">
              <w:rPr>
                <w:sz w:val="24"/>
                <w:szCs w:val="24"/>
              </w:rPr>
              <w:tab/>
              <w:t>Øget hjertefrekvens</w:t>
            </w:r>
            <w:r w:rsidRPr="00255823">
              <w:rPr>
                <w:rFonts w:eastAsia="Calibri"/>
                <w:sz w:val="24"/>
                <w:szCs w:val="24"/>
                <w:vertAlign w:val="superscript"/>
              </w:rPr>
              <w:t>1,</w:t>
            </w:r>
            <w:r w:rsidRPr="00255823">
              <w:rPr>
                <w:sz w:val="24"/>
                <w:szCs w:val="24"/>
                <w:vertAlign w:val="superscript"/>
              </w:rPr>
              <w:t>3</w:t>
            </w:r>
          </w:p>
          <w:p w14:paraId="300D880F" w14:textId="77777777" w:rsidR="00510B81" w:rsidRPr="00255823" w:rsidRDefault="00510B81">
            <w:pPr>
              <w:spacing w:before="60" w:after="60"/>
              <w:ind w:left="323" w:hanging="323"/>
              <w:jc w:val="both"/>
              <w:rPr>
                <w:sz w:val="24"/>
                <w:szCs w:val="24"/>
                <w:vertAlign w:val="superscript"/>
              </w:rPr>
            </w:pPr>
            <w:r w:rsidRPr="00255823">
              <w:rPr>
                <w:sz w:val="24"/>
                <w:szCs w:val="24"/>
              </w:rPr>
              <w:t>-</w:t>
            </w:r>
            <w:r w:rsidRPr="00255823">
              <w:rPr>
                <w:sz w:val="24"/>
                <w:szCs w:val="24"/>
              </w:rPr>
              <w:tab/>
              <w:t xml:space="preserve">Øget </w:t>
            </w:r>
            <w:proofErr w:type="spellStart"/>
            <w:r w:rsidRPr="00255823">
              <w:rPr>
                <w:sz w:val="24"/>
                <w:szCs w:val="24"/>
              </w:rPr>
              <w:t>mitral</w:t>
            </w:r>
            <w:proofErr w:type="spellEnd"/>
            <w:r w:rsidRPr="00255823">
              <w:rPr>
                <w:sz w:val="24"/>
                <w:szCs w:val="24"/>
              </w:rPr>
              <w:t xml:space="preserve"> regurgitation</w:t>
            </w:r>
            <w:r w:rsidRPr="00255823">
              <w:rPr>
                <w:sz w:val="24"/>
                <w:szCs w:val="24"/>
                <w:vertAlign w:val="superscript"/>
              </w:rPr>
              <w:t>4</w:t>
            </w:r>
          </w:p>
        </w:tc>
      </w:tr>
      <w:tr w:rsidR="00510B81" w:rsidRPr="00255823" w14:paraId="51045B95" w14:textId="77777777" w:rsidTr="00255823">
        <w:tc>
          <w:tcPr>
            <w:tcW w:w="1930" w:type="pct"/>
            <w:tcBorders>
              <w:top w:val="single" w:sz="4" w:space="0" w:color="auto"/>
              <w:left w:val="single" w:sz="4" w:space="0" w:color="auto"/>
              <w:bottom w:val="single" w:sz="4" w:space="0" w:color="auto"/>
              <w:right w:val="single" w:sz="4" w:space="0" w:color="auto"/>
            </w:tcBorders>
            <w:hideMark/>
          </w:tcPr>
          <w:p w14:paraId="592A3567" w14:textId="77777777" w:rsidR="00510B81" w:rsidRPr="00255823" w:rsidRDefault="00510B81">
            <w:pPr>
              <w:spacing w:before="60" w:after="60"/>
              <w:ind w:left="27" w:hanging="27"/>
              <w:rPr>
                <w:sz w:val="24"/>
                <w:szCs w:val="24"/>
              </w:rPr>
            </w:pPr>
            <w:r w:rsidRPr="00255823">
              <w:rPr>
                <w:sz w:val="24"/>
                <w:szCs w:val="24"/>
              </w:rPr>
              <w:t>Meget sjælden</w:t>
            </w:r>
          </w:p>
          <w:p w14:paraId="434FA66E" w14:textId="77777777" w:rsidR="00510B81" w:rsidRPr="00255823" w:rsidRDefault="00510B81">
            <w:pPr>
              <w:spacing w:before="60" w:after="60"/>
              <w:ind w:left="27" w:hanging="27"/>
              <w:rPr>
                <w:sz w:val="24"/>
                <w:szCs w:val="24"/>
              </w:rPr>
            </w:pPr>
            <w:r w:rsidRPr="00255823">
              <w:rPr>
                <w:sz w:val="24"/>
                <w:szCs w:val="24"/>
              </w:rPr>
              <w:t>(&lt; 1 dyr ud af 10.000 behandlede dyr, herunder enkeltstående indberetninger):</w:t>
            </w:r>
          </w:p>
        </w:tc>
        <w:tc>
          <w:tcPr>
            <w:tcW w:w="3070" w:type="pct"/>
            <w:tcBorders>
              <w:top w:val="single" w:sz="4" w:space="0" w:color="auto"/>
              <w:left w:val="single" w:sz="4" w:space="0" w:color="auto"/>
              <w:bottom w:val="single" w:sz="4" w:space="0" w:color="auto"/>
              <w:right w:val="single" w:sz="4" w:space="0" w:color="auto"/>
            </w:tcBorders>
            <w:hideMark/>
          </w:tcPr>
          <w:p w14:paraId="61B0A705" w14:textId="77777777" w:rsidR="00510B81" w:rsidRPr="00255823" w:rsidRDefault="00510B81">
            <w:pPr>
              <w:tabs>
                <w:tab w:val="left" w:pos="600"/>
              </w:tabs>
              <w:spacing w:before="60" w:after="60"/>
              <w:ind w:left="316" w:hanging="316"/>
              <w:rPr>
                <w:iCs/>
                <w:sz w:val="24"/>
                <w:szCs w:val="24"/>
                <w:lang w:val="nb-NO"/>
              </w:rPr>
            </w:pPr>
            <w:r w:rsidRPr="00255823">
              <w:rPr>
                <w:sz w:val="24"/>
                <w:szCs w:val="24"/>
                <w:lang w:val="nb-NO"/>
              </w:rPr>
              <w:t>-</w:t>
            </w:r>
            <w:r w:rsidRPr="00255823">
              <w:rPr>
                <w:sz w:val="24"/>
                <w:szCs w:val="24"/>
                <w:lang w:val="nb-NO"/>
              </w:rPr>
              <w:tab/>
              <w:t>Petekkier på slimhinder</w:t>
            </w:r>
            <w:r w:rsidRPr="00255823">
              <w:rPr>
                <w:sz w:val="24"/>
                <w:szCs w:val="24"/>
                <w:vertAlign w:val="superscript"/>
                <w:lang w:val="nb-NO"/>
              </w:rPr>
              <w:t>5</w:t>
            </w:r>
            <w:r w:rsidRPr="00255823">
              <w:rPr>
                <w:sz w:val="24"/>
                <w:szCs w:val="24"/>
                <w:lang w:val="nb-NO"/>
              </w:rPr>
              <w:t>, subkutan blødning</w:t>
            </w:r>
            <w:r w:rsidRPr="00255823">
              <w:rPr>
                <w:sz w:val="24"/>
                <w:szCs w:val="24"/>
                <w:vertAlign w:val="superscript"/>
                <w:lang w:val="nb-NO"/>
              </w:rPr>
              <w:t>5</w:t>
            </w:r>
          </w:p>
        </w:tc>
      </w:tr>
    </w:tbl>
    <w:p w14:paraId="6A610F52" w14:textId="77777777" w:rsidR="00510B81" w:rsidRPr="00255823" w:rsidRDefault="00510B81" w:rsidP="00255823">
      <w:pPr>
        <w:ind w:left="1276" w:hanging="425"/>
        <w:rPr>
          <w:sz w:val="24"/>
          <w:szCs w:val="24"/>
          <w:vertAlign w:val="superscript"/>
        </w:rPr>
      </w:pPr>
      <w:r w:rsidRPr="00255823">
        <w:rPr>
          <w:sz w:val="24"/>
          <w:szCs w:val="24"/>
          <w:vertAlign w:val="superscript"/>
        </w:rPr>
        <w:t>1</w:t>
      </w:r>
      <w:r w:rsidRPr="00255823">
        <w:rPr>
          <w:sz w:val="24"/>
          <w:szCs w:val="24"/>
          <w:vertAlign w:val="superscript"/>
        </w:rPr>
        <w:tab/>
      </w:r>
      <w:r w:rsidRPr="00255823">
        <w:rPr>
          <w:sz w:val="24"/>
          <w:szCs w:val="24"/>
        </w:rPr>
        <w:t>Denne virkning er dosisafhængig og kan undgås ved at reducere dosis.</w:t>
      </w:r>
    </w:p>
    <w:p w14:paraId="2895B0EE" w14:textId="77777777" w:rsidR="00510B81" w:rsidRPr="00255823" w:rsidRDefault="00510B81" w:rsidP="00255823">
      <w:pPr>
        <w:ind w:left="1276" w:hanging="425"/>
        <w:rPr>
          <w:sz w:val="24"/>
          <w:szCs w:val="24"/>
          <w:vertAlign w:val="superscript"/>
        </w:rPr>
      </w:pPr>
      <w:r w:rsidRPr="00255823">
        <w:rPr>
          <w:sz w:val="24"/>
          <w:szCs w:val="24"/>
          <w:vertAlign w:val="superscript"/>
        </w:rPr>
        <w:t>2</w:t>
      </w:r>
      <w:r w:rsidRPr="00255823">
        <w:rPr>
          <w:sz w:val="24"/>
          <w:szCs w:val="24"/>
          <w:vertAlign w:val="superscript"/>
        </w:rPr>
        <w:tab/>
      </w:r>
      <w:r w:rsidRPr="00255823">
        <w:rPr>
          <w:sz w:val="24"/>
          <w:szCs w:val="24"/>
        </w:rPr>
        <w:t>Forbigående.</w:t>
      </w:r>
    </w:p>
    <w:p w14:paraId="11B162C5" w14:textId="77777777" w:rsidR="00510B81" w:rsidRPr="00255823" w:rsidRDefault="00510B81" w:rsidP="00255823">
      <w:pPr>
        <w:ind w:left="1276" w:hanging="425"/>
        <w:rPr>
          <w:sz w:val="24"/>
          <w:szCs w:val="24"/>
          <w:vertAlign w:val="superscript"/>
        </w:rPr>
      </w:pPr>
      <w:r w:rsidRPr="00255823">
        <w:rPr>
          <w:sz w:val="24"/>
          <w:szCs w:val="24"/>
          <w:vertAlign w:val="superscript"/>
        </w:rPr>
        <w:t>3</w:t>
      </w:r>
      <w:r w:rsidRPr="00255823">
        <w:rPr>
          <w:sz w:val="24"/>
          <w:szCs w:val="24"/>
          <w:vertAlign w:val="superscript"/>
        </w:rPr>
        <w:tab/>
      </w:r>
      <w:r w:rsidRPr="00255823">
        <w:rPr>
          <w:sz w:val="24"/>
          <w:szCs w:val="24"/>
        </w:rPr>
        <w:t xml:space="preserve">Forårsaget af en let positiv </w:t>
      </w:r>
      <w:proofErr w:type="spellStart"/>
      <w:r w:rsidRPr="00255823">
        <w:rPr>
          <w:sz w:val="24"/>
          <w:szCs w:val="24"/>
        </w:rPr>
        <w:t>kronotrop</w:t>
      </w:r>
      <w:proofErr w:type="spellEnd"/>
      <w:r w:rsidRPr="00255823">
        <w:rPr>
          <w:sz w:val="24"/>
          <w:szCs w:val="24"/>
        </w:rPr>
        <w:t xml:space="preserve"> virkning.</w:t>
      </w:r>
    </w:p>
    <w:p w14:paraId="5D26DDE8" w14:textId="77777777" w:rsidR="00510B81" w:rsidRPr="00255823" w:rsidRDefault="00510B81" w:rsidP="00255823">
      <w:pPr>
        <w:ind w:left="1276" w:hanging="425"/>
        <w:rPr>
          <w:sz w:val="24"/>
          <w:szCs w:val="24"/>
          <w:vertAlign w:val="superscript"/>
        </w:rPr>
      </w:pPr>
      <w:r w:rsidRPr="00255823">
        <w:rPr>
          <w:sz w:val="24"/>
          <w:szCs w:val="24"/>
          <w:vertAlign w:val="superscript"/>
        </w:rPr>
        <w:t>4</w:t>
      </w:r>
      <w:r w:rsidRPr="00255823">
        <w:rPr>
          <w:sz w:val="24"/>
          <w:szCs w:val="24"/>
          <w:vertAlign w:val="superscript"/>
        </w:rPr>
        <w:tab/>
      </w:r>
      <w:r w:rsidRPr="00255823">
        <w:rPr>
          <w:sz w:val="24"/>
          <w:szCs w:val="24"/>
        </w:rPr>
        <w:t xml:space="preserve">Observeret under kronisk </w:t>
      </w:r>
      <w:proofErr w:type="spellStart"/>
      <w:r w:rsidRPr="00255823">
        <w:rPr>
          <w:sz w:val="24"/>
          <w:szCs w:val="24"/>
        </w:rPr>
        <w:t>pimobendanbehandling</w:t>
      </w:r>
      <w:proofErr w:type="spellEnd"/>
      <w:r w:rsidRPr="00255823">
        <w:rPr>
          <w:sz w:val="24"/>
          <w:szCs w:val="24"/>
        </w:rPr>
        <w:t xml:space="preserve"> hos hunde med </w:t>
      </w:r>
      <w:proofErr w:type="spellStart"/>
      <w:r w:rsidRPr="00255823">
        <w:rPr>
          <w:sz w:val="24"/>
          <w:szCs w:val="24"/>
        </w:rPr>
        <w:t>mitralklapsygdom</w:t>
      </w:r>
      <w:proofErr w:type="spellEnd"/>
      <w:r w:rsidRPr="00255823">
        <w:rPr>
          <w:sz w:val="24"/>
          <w:szCs w:val="24"/>
        </w:rPr>
        <w:t>.</w:t>
      </w:r>
    </w:p>
    <w:p w14:paraId="371BEBEB" w14:textId="77777777" w:rsidR="00510B81" w:rsidRPr="00255823" w:rsidRDefault="00510B81" w:rsidP="00255823">
      <w:pPr>
        <w:ind w:left="1276" w:hanging="425"/>
        <w:rPr>
          <w:sz w:val="24"/>
          <w:szCs w:val="24"/>
          <w:vertAlign w:val="superscript"/>
        </w:rPr>
      </w:pPr>
      <w:r w:rsidRPr="00255823">
        <w:rPr>
          <w:sz w:val="24"/>
          <w:szCs w:val="24"/>
          <w:vertAlign w:val="superscript"/>
        </w:rPr>
        <w:t>5</w:t>
      </w:r>
      <w:r w:rsidRPr="00255823">
        <w:rPr>
          <w:sz w:val="24"/>
          <w:szCs w:val="24"/>
          <w:vertAlign w:val="superscript"/>
        </w:rPr>
        <w:tab/>
      </w:r>
      <w:r w:rsidRPr="00255823">
        <w:rPr>
          <w:sz w:val="24"/>
          <w:szCs w:val="24"/>
        </w:rPr>
        <w:t xml:space="preserve">Sammenhæng med </w:t>
      </w:r>
      <w:proofErr w:type="spellStart"/>
      <w:r w:rsidRPr="00255823">
        <w:rPr>
          <w:sz w:val="24"/>
          <w:szCs w:val="24"/>
        </w:rPr>
        <w:t>pimobendan</w:t>
      </w:r>
      <w:proofErr w:type="spellEnd"/>
      <w:r w:rsidRPr="00255823">
        <w:rPr>
          <w:sz w:val="24"/>
          <w:szCs w:val="24"/>
        </w:rPr>
        <w:t xml:space="preserve"> er ikke klart fastslået, de kliniske tegn forsvinder når behandlingen afbrydes.</w:t>
      </w:r>
    </w:p>
    <w:p w14:paraId="453659A8" w14:textId="77777777" w:rsidR="00510B81" w:rsidRPr="00255823" w:rsidRDefault="00510B81" w:rsidP="00255823">
      <w:pPr>
        <w:ind w:left="851"/>
        <w:rPr>
          <w:sz w:val="24"/>
          <w:szCs w:val="24"/>
        </w:rPr>
      </w:pPr>
      <w:bookmarkStart w:id="16" w:name="_Hlk66891708"/>
    </w:p>
    <w:p w14:paraId="511A6037" w14:textId="77777777" w:rsidR="00510B81" w:rsidRPr="00255823" w:rsidRDefault="00510B81" w:rsidP="00255823">
      <w:pPr>
        <w:ind w:left="851"/>
        <w:rPr>
          <w:sz w:val="24"/>
          <w:szCs w:val="24"/>
        </w:rPr>
      </w:pPr>
      <w:r w:rsidRPr="00255823">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16"/>
    <w:p w14:paraId="20A76029" w14:textId="77777777" w:rsidR="008203A8" w:rsidRPr="00255823" w:rsidRDefault="008203A8" w:rsidP="008203A8">
      <w:pPr>
        <w:tabs>
          <w:tab w:val="left" w:pos="851"/>
        </w:tabs>
        <w:ind w:left="851"/>
        <w:rPr>
          <w:sz w:val="24"/>
          <w:szCs w:val="24"/>
        </w:rPr>
      </w:pPr>
    </w:p>
    <w:p w14:paraId="5020C9AE" w14:textId="77777777" w:rsidR="008203A8" w:rsidRPr="00255823" w:rsidRDefault="008203A8" w:rsidP="008203A8">
      <w:pPr>
        <w:tabs>
          <w:tab w:val="left" w:pos="851"/>
        </w:tabs>
        <w:ind w:left="851" w:hanging="851"/>
        <w:rPr>
          <w:b/>
          <w:sz w:val="24"/>
          <w:szCs w:val="24"/>
        </w:rPr>
      </w:pPr>
      <w:r w:rsidRPr="00255823">
        <w:rPr>
          <w:b/>
          <w:sz w:val="24"/>
          <w:szCs w:val="24"/>
        </w:rPr>
        <w:t>3.7</w:t>
      </w:r>
      <w:r w:rsidRPr="00255823">
        <w:rPr>
          <w:b/>
          <w:sz w:val="24"/>
          <w:szCs w:val="24"/>
        </w:rPr>
        <w:tab/>
        <w:t>Anvendelse under drægtighed, laktation eller æglægning</w:t>
      </w:r>
    </w:p>
    <w:p w14:paraId="25475444" w14:textId="77777777" w:rsidR="00510B81" w:rsidRPr="00255823" w:rsidRDefault="00510B81" w:rsidP="00255823">
      <w:pPr>
        <w:ind w:left="851"/>
        <w:rPr>
          <w:sz w:val="24"/>
          <w:szCs w:val="24"/>
        </w:rPr>
      </w:pPr>
      <w:bookmarkStart w:id="17" w:name="_Hlk188532038"/>
      <w:r w:rsidRPr="00255823">
        <w:rPr>
          <w:sz w:val="24"/>
          <w:szCs w:val="24"/>
        </w:rPr>
        <w:t>Veterinærlægemidlets sikkerhed under drægtighed og diegivning er ikke fastlagt hos tæver.</w:t>
      </w:r>
      <w:bookmarkEnd w:id="17"/>
    </w:p>
    <w:p w14:paraId="3C787CA3" w14:textId="77777777" w:rsidR="00510B81" w:rsidRPr="00255823" w:rsidRDefault="00510B81" w:rsidP="00255823">
      <w:pPr>
        <w:ind w:left="851"/>
        <w:rPr>
          <w:sz w:val="24"/>
          <w:szCs w:val="24"/>
          <w:u w:val="single"/>
        </w:rPr>
      </w:pPr>
    </w:p>
    <w:p w14:paraId="75523B13" w14:textId="77777777" w:rsidR="00510B81" w:rsidRPr="00255823" w:rsidRDefault="00510B81" w:rsidP="00255823">
      <w:pPr>
        <w:ind w:left="851"/>
        <w:rPr>
          <w:sz w:val="24"/>
          <w:szCs w:val="24"/>
          <w:u w:val="single"/>
        </w:rPr>
      </w:pPr>
      <w:r w:rsidRPr="00255823">
        <w:rPr>
          <w:sz w:val="24"/>
          <w:szCs w:val="24"/>
          <w:u w:val="single"/>
        </w:rPr>
        <w:t>Drægtighed og diegivning:</w:t>
      </w:r>
    </w:p>
    <w:p w14:paraId="6EB13B24" w14:textId="77777777" w:rsidR="00510B81" w:rsidRPr="00255823" w:rsidRDefault="00510B81" w:rsidP="00255823">
      <w:pPr>
        <w:ind w:left="851"/>
        <w:rPr>
          <w:sz w:val="24"/>
          <w:szCs w:val="24"/>
        </w:rPr>
      </w:pPr>
      <w:bookmarkStart w:id="18" w:name="_Hlk188532045"/>
      <w:bookmarkStart w:id="19" w:name="_Hlk177043646"/>
      <w:r w:rsidRPr="00255823">
        <w:rPr>
          <w:sz w:val="24"/>
          <w:szCs w:val="24"/>
        </w:rPr>
        <w:t>Må kun anvendes i overensstemmelse med den ansvarlige dyrlæges vurdering af benefit/</w:t>
      </w:r>
      <w:proofErr w:type="spellStart"/>
      <w:r w:rsidRPr="00255823">
        <w:rPr>
          <w:sz w:val="24"/>
          <w:szCs w:val="24"/>
        </w:rPr>
        <w:t>risk</w:t>
      </w:r>
      <w:proofErr w:type="spellEnd"/>
      <w:r w:rsidRPr="00255823">
        <w:rPr>
          <w:sz w:val="24"/>
          <w:szCs w:val="24"/>
        </w:rPr>
        <w:t>-forholdet.</w:t>
      </w:r>
    </w:p>
    <w:bookmarkEnd w:id="18"/>
    <w:p w14:paraId="2036BC02" w14:textId="77777777" w:rsidR="00510B81" w:rsidRPr="00255823" w:rsidRDefault="00510B81" w:rsidP="00255823">
      <w:pPr>
        <w:ind w:left="851"/>
        <w:rPr>
          <w:sz w:val="24"/>
          <w:szCs w:val="24"/>
        </w:rPr>
      </w:pPr>
      <w:r w:rsidRPr="00255823">
        <w:rPr>
          <w:sz w:val="24"/>
          <w:szCs w:val="24"/>
        </w:rPr>
        <w:t xml:space="preserve">Laboratorieundersøgelser af rotter og kaniner har ikke afsløret </w:t>
      </w:r>
      <w:proofErr w:type="spellStart"/>
      <w:r w:rsidRPr="00255823">
        <w:rPr>
          <w:sz w:val="24"/>
          <w:szCs w:val="24"/>
        </w:rPr>
        <w:t>teratogene</w:t>
      </w:r>
      <w:proofErr w:type="spellEnd"/>
      <w:r w:rsidRPr="00255823">
        <w:rPr>
          <w:sz w:val="24"/>
          <w:szCs w:val="24"/>
        </w:rPr>
        <w:t xml:space="preserve"> eller </w:t>
      </w:r>
      <w:proofErr w:type="spellStart"/>
      <w:r w:rsidRPr="00255823">
        <w:rPr>
          <w:sz w:val="24"/>
          <w:szCs w:val="24"/>
        </w:rPr>
        <w:t>føtotoksiske</w:t>
      </w:r>
      <w:proofErr w:type="spellEnd"/>
      <w:r w:rsidRPr="00255823">
        <w:rPr>
          <w:sz w:val="24"/>
          <w:szCs w:val="24"/>
        </w:rPr>
        <w:t xml:space="preserve"> virkninger. Imidlertid har disse undersøgelser vist tegn på </w:t>
      </w:r>
      <w:proofErr w:type="spellStart"/>
      <w:r w:rsidRPr="00255823">
        <w:rPr>
          <w:sz w:val="24"/>
          <w:szCs w:val="24"/>
        </w:rPr>
        <w:t>maternotoksiske</w:t>
      </w:r>
      <w:proofErr w:type="spellEnd"/>
      <w:r w:rsidRPr="00255823">
        <w:rPr>
          <w:sz w:val="24"/>
          <w:szCs w:val="24"/>
        </w:rPr>
        <w:t xml:space="preserve"> og embryotoksiske virkninger ved høje doser. Derudover har undersøgelserne vist, at </w:t>
      </w:r>
      <w:proofErr w:type="spellStart"/>
      <w:r w:rsidRPr="00255823">
        <w:rPr>
          <w:sz w:val="24"/>
          <w:szCs w:val="24"/>
        </w:rPr>
        <w:t>pimobendan</w:t>
      </w:r>
      <w:proofErr w:type="spellEnd"/>
      <w:r w:rsidRPr="00255823">
        <w:rPr>
          <w:sz w:val="24"/>
          <w:szCs w:val="24"/>
        </w:rPr>
        <w:t xml:space="preserve"> udskilles i mælken. </w:t>
      </w:r>
      <w:bookmarkEnd w:id="19"/>
    </w:p>
    <w:p w14:paraId="530DFF35" w14:textId="77777777" w:rsidR="008203A8" w:rsidRPr="00255823" w:rsidRDefault="008203A8" w:rsidP="008203A8">
      <w:pPr>
        <w:tabs>
          <w:tab w:val="left" w:pos="851"/>
        </w:tabs>
        <w:ind w:left="851"/>
        <w:rPr>
          <w:sz w:val="24"/>
          <w:szCs w:val="24"/>
        </w:rPr>
      </w:pPr>
    </w:p>
    <w:p w14:paraId="5B046C4B" w14:textId="77777777" w:rsidR="008203A8" w:rsidRPr="00255823" w:rsidRDefault="008203A8" w:rsidP="008203A8">
      <w:pPr>
        <w:tabs>
          <w:tab w:val="left" w:pos="851"/>
        </w:tabs>
        <w:ind w:left="851" w:hanging="851"/>
        <w:rPr>
          <w:b/>
          <w:sz w:val="24"/>
          <w:szCs w:val="24"/>
        </w:rPr>
      </w:pPr>
      <w:r w:rsidRPr="00255823">
        <w:rPr>
          <w:b/>
          <w:sz w:val="24"/>
          <w:szCs w:val="24"/>
        </w:rPr>
        <w:lastRenderedPageBreak/>
        <w:t>3.8</w:t>
      </w:r>
      <w:r w:rsidRPr="00255823">
        <w:rPr>
          <w:b/>
          <w:sz w:val="24"/>
          <w:szCs w:val="24"/>
        </w:rPr>
        <w:tab/>
        <w:t>Interaktion med andre lægemidler og andre former for interaktion</w:t>
      </w:r>
    </w:p>
    <w:p w14:paraId="1E71631F" w14:textId="77777777" w:rsidR="00510B81" w:rsidRPr="00255823" w:rsidRDefault="00510B81" w:rsidP="00255823">
      <w:pPr>
        <w:ind w:left="851"/>
        <w:rPr>
          <w:sz w:val="24"/>
          <w:szCs w:val="24"/>
        </w:rPr>
      </w:pPr>
      <w:bookmarkStart w:id="20" w:name="_Hlk177043661"/>
      <w:r w:rsidRPr="00255823">
        <w:rPr>
          <w:sz w:val="24"/>
          <w:szCs w:val="24"/>
        </w:rPr>
        <w:t xml:space="preserve">I farmakologiske studier sås ingen interaktion mellem </w:t>
      </w:r>
      <w:proofErr w:type="spellStart"/>
      <w:r w:rsidRPr="00255823">
        <w:rPr>
          <w:sz w:val="24"/>
          <w:szCs w:val="24"/>
        </w:rPr>
        <w:t>hjerteglycosidet</w:t>
      </w:r>
      <w:proofErr w:type="spellEnd"/>
      <w:r w:rsidRPr="00255823">
        <w:rPr>
          <w:sz w:val="24"/>
          <w:szCs w:val="24"/>
        </w:rPr>
        <w:t xml:space="preserve"> </w:t>
      </w:r>
      <w:proofErr w:type="spellStart"/>
      <w:r w:rsidRPr="00255823">
        <w:rPr>
          <w:sz w:val="24"/>
          <w:szCs w:val="24"/>
        </w:rPr>
        <w:t>ouabain</w:t>
      </w:r>
      <w:proofErr w:type="spellEnd"/>
      <w:r w:rsidRPr="00255823">
        <w:rPr>
          <w:sz w:val="24"/>
          <w:szCs w:val="24"/>
        </w:rPr>
        <w:t xml:space="preserve"> (</w:t>
      </w:r>
      <w:proofErr w:type="spellStart"/>
      <w:r w:rsidRPr="00255823">
        <w:rPr>
          <w:sz w:val="24"/>
          <w:szCs w:val="24"/>
        </w:rPr>
        <w:t>strofantin</w:t>
      </w:r>
      <w:proofErr w:type="spellEnd"/>
      <w:r w:rsidRPr="00255823">
        <w:rPr>
          <w:sz w:val="24"/>
          <w:szCs w:val="24"/>
        </w:rPr>
        <w:t xml:space="preserve">) og </w:t>
      </w:r>
      <w:proofErr w:type="spellStart"/>
      <w:r w:rsidRPr="00255823">
        <w:rPr>
          <w:sz w:val="24"/>
          <w:szCs w:val="24"/>
        </w:rPr>
        <w:t>pimobendan</w:t>
      </w:r>
      <w:proofErr w:type="spellEnd"/>
      <w:r w:rsidRPr="00255823">
        <w:rPr>
          <w:sz w:val="24"/>
          <w:szCs w:val="24"/>
        </w:rPr>
        <w:t xml:space="preserve">. Den </w:t>
      </w:r>
      <w:proofErr w:type="spellStart"/>
      <w:r w:rsidRPr="00255823">
        <w:rPr>
          <w:sz w:val="24"/>
          <w:szCs w:val="24"/>
        </w:rPr>
        <w:t>pimobendaninducerede</w:t>
      </w:r>
      <w:proofErr w:type="spellEnd"/>
      <w:r w:rsidRPr="00255823">
        <w:rPr>
          <w:sz w:val="24"/>
          <w:szCs w:val="24"/>
        </w:rPr>
        <w:t xml:space="preserve"> forbedring af hjertets kontraktionsevne svækkes ved brug af calciumantagonisterne </w:t>
      </w:r>
      <w:proofErr w:type="spellStart"/>
      <w:r w:rsidRPr="00255823">
        <w:rPr>
          <w:sz w:val="24"/>
          <w:szCs w:val="24"/>
        </w:rPr>
        <w:t>verapamil</w:t>
      </w:r>
      <w:proofErr w:type="spellEnd"/>
      <w:r w:rsidRPr="00255823">
        <w:rPr>
          <w:sz w:val="24"/>
          <w:szCs w:val="24"/>
        </w:rPr>
        <w:t xml:space="preserve"> og </w:t>
      </w:r>
      <w:proofErr w:type="spellStart"/>
      <w:r w:rsidRPr="00255823">
        <w:rPr>
          <w:sz w:val="24"/>
          <w:szCs w:val="24"/>
        </w:rPr>
        <w:t>diltiazem</w:t>
      </w:r>
      <w:proofErr w:type="spellEnd"/>
      <w:r w:rsidRPr="00255823">
        <w:rPr>
          <w:sz w:val="24"/>
          <w:szCs w:val="24"/>
        </w:rPr>
        <w:t xml:space="preserve"> og af β-antagonisten </w:t>
      </w:r>
      <w:proofErr w:type="spellStart"/>
      <w:r w:rsidRPr="00255823">
        <w:rPr>
          <w:sz w:val="24"/>
          <w:szCs w:val="24"/>
        </w:rPr>
        <w:t>propranolol</w:t>
      </w:r>
      <w:proofErr w:type="spellEnd"/>
      <w:r w:rsidRPr="00255823">
        <w:rPr>
          <w:sz w:val="24"/>
          <w:szCs w:val="24"/>
        </w:rPr>
        <w:t>.</w:t>
      </w:r>
      <w:bookmarkEnd w:id="20"/>
    </w:p>
    <w:p w14:paraId="56E4C857" w14:textId="77777777" w:rsidR="008203A8" w:rsidRPr="00255823" w:rsidRDefault="008203A8" w:rsidP="008203A8">
      <w:pPr>
        <w:tabs>
          <w:tab w:val="left" w:pos="851"/>
        </w:tabs>
        <w:ind w:left="851"/>
        <w:rPr>
          <w:sz w:val="24"/>
          <w:szCs w:val="24"/>
        </w:rPr>
      </w:pPr>
    </w:p>
    <w:p w14:paraId="21E69D34" w14:textId="77777777" w:rsidR="008203A8" w:rsidRPr="00255823" w:rsidRDefault="008203A8" w:rsidP="008203A8">
      <w:pPr>
        <w:tabs>
          <w:tab w:val="left" w:pos="851"/>
        </w:tabs>
        <w:ind w:left="851" w:hanging="851"/>
        <w:rPr>
          <w:b/>
          <w:sz w:val="24"/>
          <w:szCs w:val="24"/>
        </w:rPr>
      </w:pPr>
      <w:r w:rsidRPr="00255823">
        <w:rPr>
          <w:b/>
          <w:sz w:val="24"/>
          <w:szCs w:val="24"/>
        </w:rPr>
        <w:t>3.9</w:t>
      </w:r>
      <w:r w:rsidRPr="00255823">
        <w:rPr>
          <w:b/>
          <w:sz w:val="24"/>
          <w:szCs w:val="24"/>
        </w:rPr>
        <w:tab/>
        <w:t>Administrationsveje og dosering</w:t>
      </w:r>
    </w:p>
    <w:p w14:paraId="630CF197" w14:textId="77777777" w:rsidR="00510B81" w:rsidRPr="00255823" w:rsidRDefault="00510B81" w:rsidP="00255823">
      <w:pPr>
        <w:ind w:left="851"/>
        <w:rPr>
          <w:sz w:val="24"/>
          <w:szCs w:val="24"/>
        </w:rPr>
      </w:pPr>
      <w:bookmarkStart w:id="21" w:name="_Hlk177047621"/>
      <w:r w:rsidRPr="00255823">
        <w:rPr>
          <w:sz w:val="24"/>
          <w:szCs w:val="24"/>
        </w:rPr>
        <w:t>Oral anvendelse.</w:t>
      </w:r>
    </w:p>
    <w:p w14:paraId="029D2479" w14:textId="77777777" w:rsidR="00510B81" w:rsidRPr="00255823" w:rsidRDefault="00510B81" w:rsidP="00255823">
      <w:pPr>
        <w:ind w:left="851"/>
        <w:rPr>
          <w:sz w:val="24"/>
          <w:szCs w:val="24"/>
        </w:rPr>
      </w:pPr>
    </w:p>
    <w:p w14:paraId="618CD7AC" w14:textId="77777777" w:rsidR="00510B81" w:rsidRPr="00255823" w:rsidRDefault="00510B81" w:rsidP="00255823">
      <w:pPr>
        <w:ind w:left="851"/>
        <w:rPr>
          <w:sz w:val="24"/>
          <w:szCs w:val="24"/>
        </w:rPr>
      </w:pPr>
      <w:r w:rsidRPr="00255823">
        <w:rPr>
          <w:sz w:val="24"/>
          <w:szCs w:val="24"/>
        </w:rPr>
        <w:t>Ryst ikke flasken før eller under brug for at undgå skumdannelse.</w:t>
      </w:r>
    </w:p>
    <w:p w14:paraId="733AD7A5" w14:textId="77777777" w:rsidR="00510B81" w:rsidRPr="00255823" w:rsidRDefault="00510B81" w:rsidP="00255823">
      <w:pPr>
        <w:ind w:left="851"/>
        <w:rPr>
          <w:sz w:val="24"/>
          <w:szCs w:val="24"/>
        </w:rPr>
      </w:pPr>
    </w:p>
    <w:p w14:paraId="336FD6F1" w14:textId="77777777" w:rsidR="00510B81" w:rsidRPr="00255823" w:rsidRDefault="00510B81" w:rsidP="00255823">
      <w:pPr>
        <w:ind w:left="851"/>
        <w:rPr>
          <w:sz w:val="24"/>
          <w:szCs w:val="24"/>
        </w:rPr>
      </w:pPr>
      <w:r w:rsidRPr="00255823">
        <w:rPr>
          <w:sz w:val="24"/>
          <w:szCs w:val="24"/>
        </w:rPr>
        <w:t xml:space="preserve">For at sikre korrekt dosering bør legemsvægten bestemmes så nøjagtigt som muligt. </w:t>
      </w:r>
    </w:p>
    <w:p w14:paraId="6495BB15" w14:textId="77777777" w:rsidR="00510B81" w:rsidRPr="00255823" w:rsidRDefault="00510B81" w:rsidP="00255823">
      <w:pPr>
        <w:ind w:left="851"/>
        <w:rPr>
          <w:sz w:val="24"/>
          <w:szCs w:val="24"/>
        </w:rPr>
      </w:pPr>
      <w:r w:rsidRPr="00255823">
        <w:rPr>
          <w:sz w:val="24"/>
          <w:szCs w:val="24"/>
        </w:rPr>
        <w:t xml:space="preserve">Dosering inden for intervallet 0,2 mg til 0,6 mg </w:t>
      </w:r>
      <w:proofErr w:type="spellStart"/>
      <w:r w:rsidRPr="00255823">
        <w:rPr>
          <w:sz w:val="24"/>
          <w:szCs w:val="24"/>
        </w:rPr>
        <w:t>pimobendan</w:t>
      </w:r>
      <w:proofErr w:type="spellEnd"/>
      <w:r w:rsidRPr="00255823">
        <w:rPr>
          <w:sz w:val="24"/>
          <w:szCs w:val="24"/>
        </w:rPr>
        <w:t xml:space="preserve">/kg legemsvægt, fordelt på to daglige doser, bør overholdes. Den foretrukne daglige dosering er 0,5 mg </w:t>
      </w:r>
      <w:proofErr w:type="spellStart"/>
      <w:r w:rsidRPr="00255823">
        <w:rPr>
          <w:sz w:val="24"/>
          <w:szCs w:val="24"/>
        </w:rPr>
        <w:t>pimobendan</w:t>
      </w:r>
      <w:proofErr w:type="spellEnd"/>
      <w:r w:rsidRPr="00255823">
        <w:rPr>
          <w:sz w:val="24"/>
          <w:szCs w:val="24"/>
        </w:rPr>
        <w:t xml:space="preserve">/kg legemsvægt, fordelt på to daglige doser, med ca. 12 timers mellemrum (dvs. 0,25 mg </w:t>
      </w:r>
      <w:proofErr w:type="spellStart"/>
      <w:r w:rsidRPr="00255823">
        <w:rPr>
          <w:sz w:val="24"/>
          <w:szCs w:val="24"/>
        </w:rPr>
        <w:t>pimobendan</w:t>
      </w:r>
      <w:proofErr w:type="spellEnd"/>
      <w:r w:rsidRPr="00255823">
        <w:rPr>
          <w:sz w:val="24"/>
          <w:szCs w:val="24"/>
        </w:rPr>
        <w:t xml:space="preserve">/kg legemsvægt svarende til 0,17 ml </w:t>
      </w:r>
      <w:bookmarkStart w:id="22" w:name="_Hlk191895977"/>
      <w:r w:rsidRPr="00255823">
        <w:rPr>
          <w:sz w:val="24"/>
          <w:szCs w:val="24"/>
        </w:rPr>
        <w:t>af veterinærlægemidlet</w:t>
      </w:r>
      <w:bookmarkEnd w:id="22"/>
      <w:r w:rsidRPr="00255823">
        <w:rPr>
          <w:sz w:val="24"/>
          <w:szCs w:val="24"/>
        </w:rPr>
        <w:t xml:space="preserve"> to gange dagligt).</w:t>
      </w:r>
    </w:p>
    <w:p w14:paraId="5F37052B" w14:textId="77777777" w:rsidR="00510B81" w:rsidRPr="00255823" w:rsidRDefault="00510B81" w:rsidP="00255823">
      <w:pPr>
        <w:ind w:left="851"/>
        <w:rPr>
          <w:sz w:val="24"/>
          <w:szCs w:val="24"/>
        </w:rPr>
      </w:pPr>
    </w:p>
    <w:p w14:paraId="5CCE3C14" w14:textId="77777777" w:rsidR="00510B81" w:rsidRPr="00255823" w:rsidRDefault="00510B81" w:rsidP="00255823">
      <w:pPr>
        <w:ind w:left="851"/>
        <w:rPr>
          <w:sz w:val="24"/>
          <w:szCs w:val="24"/>
        </w:rPr>
      </w:pPr>
      <w:r w:rsidRPr="00255823">
        <w:rPr>
          <w:sz w:val="24"/>
          <w:szCs w:val="24"/>
        </w:rPr>
        <w:t xml:space="preserve">Opløsningen skal administreres ved hjælp af doseringssprøjten, der medfølger i pakningen. Sprøjten er forsynet med en skala for legemsvægt i kg med trin på 0,5 kg </w:t>
      </w:r>
      <w:bookmarkStart w:id="23" w:name="_Hlk191895991"/>
      <w:r w:rsidRPr="00255823">
        <w:rPr>
          <w:sz w:val="24"/>
          <w:szCs w:val="24"/>
        </w:rPr>
        <w:t>op til en legemsvægt på 12 kg</w:t>
      </w:r>
      <w:bookmarkEnd w:id="23"/>
      <w:r w:rsidRPr="00255823">
        <w:rPr>
          <w:sz w:val="24"/>
          <w:szCs w:val="24"/>
        </w:rPr>
        <w:t xml:space="preserve"> og passer på flasken. </w:t>
      </w:r>
      <w:bookmarkStart w:id="24" w:name="_Hlk188532414"/>
      <w:r w:rsidRPr="00255823">
        <w:rPr>
          <w:sz w:val="24"/>
          <w:szCs w:val="24"/>
        </w:rPr>
        <w:t xml:space="preserve">Hvert trin på 1 kg svarer til 0,25 mg </w:t>
      </w:r>
      <w:proofErr w:type="spellStart"/>
      <w:r w:rsidRPr="00255823">
        <w:rPr>
          <w:sz w:val="24"/>
          <w:szCs w:val="24"/>
        </w:rPr>
        <w:t>pimonbendan</w:t>
      </w:r>
      <w:proofErr w:type="spellEnd"/>
      <w:r w:rsidRPr="00255823">
        <w:rPr>
          <w:sz w:val="24"/>
          <w:szCs w:val="24"/>
        </w:rPr>
        <w:t>.</w:t>
      </w:r>
      <w:bookmarkEnd w:id="24"/>
      <w:r w:rsidRPr="00255823">
        <w:rPr>
          <w:sz w:val="24"/>
          <w:szCs w:val="24"/>
        </w:rPr>
        <w:t xml:space="preserve"> Dyrets samlede legemsvægt bør anvendes ved hver administration. For eksempel skal veterinærlægemidlet til en hund på 6 kg trækkes op til 6 kg-mærket på sprøjten ved hver administration (dette svarer til en dosis på 0,25 mg </w:t>
      </w:r>
      <w:proofErr w:type="spellStart"/>
      <w:r w:rsidRPr="00255823">
        <w:rPr>
          <w:sz w:val="24"/>
          <w:szCs w:val="24"/>
        </w:rPr>
        <w:t>pimobendan</w:t>
      </w:r>
      <w:proofErr w:type="spellEnd"/>
      <w:r w:rsidRPr="00255823">
        <w:rPr>
          <w:sz w:val="24"/>
          <w:szCs w:val="24"/>
        </w:rPr>
        <w:t>/kg legemsvægt pr. administration). Overskrid ikke den anbefalede dosis.</w:t>
      </w:r>
    </w:p>
    <w:p w14:paraId="6EE3B5F6" w14:textId="77777777" w:rsidR="00510B81" w:rsidRPr="00255823" w:rsidRDefault="00510B81" w:rsidP="00255823">
      <w:pPr>
        <w:ind w:left="851"/>
        <w:rPr>
          <w:sz w:val="24"/>
          <w:szCs w:val="24"/>
        </w:rPr>
      </w:pPr>
    </w:p>
    <w:p w14:paraId="30C89162" w14:textId="77777777" w:rsidR="00510B81" w:rsidRPr="00255823" w:rsidRDefault="00510B81" w:rsidP="00255823">
      <w:pPr>
        <w:ind w:left="851"/>
        <w:rPr>
          <w:sz w:val="24"/>
          <w:szCs w:val="24"/>
        </w:rPr>
      </w:pPr>
      <w:r w:rsidRPr="00255823">
        <w:rPr>
          <w:sz w:val="24"/>
          <w:szCs w:val="24"/>
        </w:rPr>
        <w:t>Hver dosis skal administreres direkte i munden, på tom mave ca. 1 time før fodring. Efter administration lukkes flasken stramt til med låget. Rengør sprøjtens yderside med en ren, tør klud eller serviet efter hver brug. Den brugte serviet skal straks smides ud.</w:t>
      </w:r>
    </w:p>
    <w:p w14:paraId="197E2F8D" w14:textId="77777777" w:rsidR="00510B81" w:rsidRPr="00255823" w:rsidRDefault="00510B81" w:rsidP="00255823">
      <w:pPr>
        <w:ind w:left="851"/>
        <w:rPr>
          <w:sz w:val="24"/>
          <w:szCs w:val="24"/>
        </w:rPr>
      </w:pPr>
      <w:r w:rsidRPr="00255823">
        <w:rPr>
          <w:sz w:val="24"/>
          <w:szCs w:val="24"/>
        </w:rPr>
        <w:t xml:space="preserve">Hvis sprøjten tilstopper, skylles sprøjten med vand uden at fjerne stemplet, og sprøjtens yderside tørres af med en ren klud eller serviet. For at undgå kontaminering må den medfølgende sprøjte kun anvendes til administration af denne orale opløsning. </w:t>
      </w:r>
      <w:bookmarkStart w:id="25" w:name="_Hlk188532440"/>
      <w:r w:rsidRPr="00255823">
        <w:rPr>
          <w:sz w:val="24"/>
          <w:szCs w:val="24"/>
        </w:rPr>
        <w:t>Den brugte sprøjte skal opbevares sammen med veterinærlægemidlet i den originale æske.</w:t>
      </w:r>
    </w:p>
    <w:bookmarkEnd w:id="25"/>
    <w:p w14:paraId="18F2EAA0" w14:textId="77777777" w:rsidR="00510B81" w:rsidRPr="00255823" w:rsidRDefault="00510B81" w:rsidP="00255823">
      <w:pPr>
        <w:ind w:left="851"/>
        <w:rPr>
          <w:sz w:val="24"/>
          <w:szCs w:val="24"/>
        </w:rPr>
      </w:pPr>
    </w:p>
    <w:p w14:paraId="3A1FAAA8" w14:textId="77777777" w:rsidR="00510B81" w:rsidRPr="00255823" w:rsidRDefault="00510B81" w:rsidP="00255823">
      <w:pPr>
        <w:ind w:left="851"/>
        <w:rPr>
          <w:sz w:val="24"/>
          <w:szCs w:val="24"/>
        </w:rPr>
      </w:pPr>
      <w:proofErr w:type="spellStart"/>
      <w:r w:rsidRPr="00255823">
        <w:rPr>
          <w:sz w:val="24"/>
          <w:szCs w:val="24"/>
        </w:rPr>
        <w:t>Pimobendan</w:t>
      </w:r>
      <w:proofErr w:type="spellEnd"/>
      <w:r w:rsidRPr="00255823">
        <w:rPr>
          <w:sz w:val="24"/>
          <w:szCs w:val="24"/>
        </w:rPr>
        <w:t xml:space="preserve"> kan også anvendes i kombination med et </w:t>
      </w:r>
      <w:proofErr w:type="spellStart"/>
      <w:r w:rsidRPr="00255823">
        <w:rPr>
          <w:sz w:val="24"/>
          <w:szCs w:val="24"/>
        </w:rPr>
        <w:t>diuretikum</w:t>
      </w:r>
      <w:proofErr w:type="spellEnd"/>
      <w:r w:rsidRPr="00255823">
        <w:rPr>
          <w:sz w:val="24"/>
          <w:szCs w:val="24"/>
        </w:rPr>
        <w:t xml:space="preserve">, f.eks. </w:t>
      </w:r>
      <w:proofErr w:type="spellStart"/>
      <w:r w:rsidRPr="00255823">
        <w:rPr>
          <w:sz w:val="24"/>
          <w:szCs w:val="24"/>
        </w:rPr>
        <w:t>furosemid</w:t>
      </w:r>
      <w:proofErr w:type="spellEnd"/>
      <w:r w:rsidRPr="00255823">
        <w:rPr>
          <w:sz w:val="24"/>
          <w:szCs w:val="24"/>
        </w:rPr>
        <w:t>.</w:t>
      </w:r>
    </w:p>
    <w:bookmarkEnd w:id="21"/>
    <w:p w14:paraId="6BE2C126" w14:textId="77777777" w:rsidR="00510B81" w:rsidRPr="00AF2E15" w:rsidRDefault="00510B81" w:rsidP="00255823">
      <w:pPr>
        <w:ind w:left="851"/>
        <w:rPr>
          <w:sz w:val="24"/>
          <w:szCs w:val="24"/>
        </w:rPr>
      </w:pPr>
    </w:p>
    <w:p w14:paraId="7518D200" w14:textId="77777777" w:rsidR="00510B81" w:rsidRPr="00AF2E15" w:rsidRDefault="00510B81" w:rsidP="00255823">
      <w:pPr>
        <w:ind w:left="851"/>
        <w:rPr>
          <w:bCs/>
          <w:sz w:val="24"/>
          <w:szCs w:val="24"/>
          <w:u w:val="single"/>
        </w:rPr>
      </w:pPr>
      <w:r w:rsidRPr="00AF2E15">
        <w:rPr>
          <w:bCs/>
          <w:sz w:val="24"/>
          <w:szCs w:val="24"/>
          <w:u w:val="single"/>
        </w:rPr>
        <w:t>Oplysninger om korrekt administration</w:t>
      </w:r>
    </w:p>
    <w:p w14:paraId="543D4C4D" w14:textId="77777777" w:rsidR="00510B81" w:rsidRPr="00255823" w:rsidRDefault="00510B81" w:rsidP="00255823">
      <w:pPr>
        <w:ind w:left="851"/>
        <w:rPr>
          <w:sz w:val="24"/>
          <w:szCs w:val="24"/>
        </w:rPr>
      </w:pPr>
    </w:p>
    <w:tbl>
      <w:tblPr>
        <w:tblStyle w:val="Tabel-Gitter"/>
        <w:tblW w:w="8788"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6241"/>
      </w:tblGrid>
      <w:tr w:rsidR="00510B81" w:rsidRPr="00255823" w14:paraId="0C9CADB0" w14:textId="77777777" w:rsidTr="00255823">
        <w:tc>
          <w:tcPr>
            <w:tcW w:w="2547" w:type="dxa"/>
            <w:hideMark/>
          </w:tcPr>
          <w:p w14:paraId="4EA4FB04" w14:textId="20B67911" w:rsidR="00510B81" w:rsidRPr="00255823" w:rsidRDefault="00510B81">
            <w:pPr>
              <w:tabs>
                <w:tab w:val="left" w:pos="1304"/>
              </w:tabs>
              <w:rPr>
                <w:iCs/>
                <w:sz w:val="24"/>
                <w:szCs w:val="24"/>
              </w:rPr>
            </w:pPr>
            <w:r w:rsidRPr="00255823">
              <w:rPr>
                <w:noProof/>
                <w:sz w:val="24"/>
                <w:szCs w:val="24"/>
              </w:rPr>
              <w:drawing>
                <wp:inline distT="0" distB="0" distL="0" distR="0" wp14:anchorId="63526956" wp14:editId="376B0BF5">
                  <wp:extent cx="1150620" cy="120396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0620" cy="1203960"/>
                          </a:xfrm>
                          <a:prstGeom prst="rect">
                            <a:avLst/>
                          </a:prstGeom>
                          <a:noFill/>
                          <a:ln>
                            <a:noFill/>
                          </a:ln>
                        </pic:spPr>
                      </pic:pic>
                    </a:graphicData>
                  </a:graphic>
                </wp:inline>
              </w:drawing>
            </w:r>
          </w:p>
        </w:tc>
        <w:tc>
          <w:tcPr>
            <w:tcW w:w="6241" w:type="dxa"/>
          </w:tcPr>
          <w:p w14:paraId="2A3EA883" w14:textId="77777777" w:rsidR="00510B81" w:rsidRPr="00255823" w:rsidRDefault="00510B81">
            <w:pPr>
              <w:tabs>
                <w:tab w:val="left" w:pos="1304"/>
              </w:tabs>
              <w:autoSpaceDE w:val="0"/>
              <w:autoSpaceDN w:val="0"/>
              <w:adjustRightInd w:val="0"/>
              <w:rPr>
                <w:sz w:val="24"/>
                <w:szCs w:val="24"/>
                <w:lang w:eastAsia="zh-CN"/>
              </w:rPr>
            </w:pPr>
            <w:r w:rsidRPr="00255823">
              <w:rPr>
                <w:sz w:val="24"/>
                <w:szCs w:val="24"/>
              </w:rPr>
              <w:t xml:space="preserve">Veterinærlægemidlet </w:t>
            </w:r>
            <w:r w:rsidRPr="00255823">
              <w:rPr>
                <w:sz w:val="24"/>
                <w:szCs w:val="24"/>
                <w:lang w:eastAsia="zh-CN"/>
              </w:rPr>
              <w:t xml:space="preserve">består af en flaske forseglet med et børnesikret låg </w:t>
            </w:r>
            <w:r w:rsidRPr="00255823">
              <w:rPr>
                <w:b/>
                <w:bCs/>
                <w:sz w:val="24"/>
                <w:szCs w:val="24"/>
                <w:highlight w:val="lightGray"/>
                <w:lang w:eastAsia="zh-CN"/>
              </w:rPr>
              <w:t>A</w:t>
            </w:r>
            <w:r w:rsidRPr="00255823">
              <w:rPr>
                <w:sz w:val="24"/>
                <w:szCs w:val="24"/>
                <w:lang w:eastAsia="zh-CN"/>
              </w:rPr>
              <w:t xml:space="preserve">, et ekstra børnesikret låg med integreret plugin-adapter </w:t>
            </w:r>
            <w:r w:rsidRPr="00255823">
              <w:rPr>
                <w:b/>
                <w:bCs/>
                <w:sz w:val="24"/>
                <w:szCs w:val="24"/>
                <w:highlight w:val="lightGray"/>
                <w:lang w:eastAsia="zh-CN"/>
              </w:rPr>
              <w:t>B</w:t>
            </w:r>
            <w:r w:rsidRPr="00255823">
              <w:rPr>
                <w:sz w:val="24"/>
                <w:szCs w:val="24"/>
                <w:lang w:eastAsia="zh-CN"/>
              </w:rPr>
              <w:t xml:space="preserve"> og en doseringssprøjte forsynet med en skala for legemsvægt i kg </w:t>
            </w:r>
            <w:r w:rsidRPr="00255823">
              <w:rPr>
                <w:b/>
                <w:bCs/>
                <w:sz w:val="24"/>
                <w:szCs w:val="24"/>
                <w:highlight w:val="lightGray"/>
                <w:lang w:eastAsia="zh-CN"/>
              </w:rPr>
              <w:t>C</w:t>
            </w:r>
            <w:r w:rsidRPr="00255823">
              <w:rPr>
                <w:sz w:val="24"/>
                <w:szCs w:val="24"/>
                <w:lang w:eastAsia="zh-CN"/>
              </w:rPr>
              <w:t>.</w:t>
            </w:r>
          </w:p>
          <w:p w14:paraId="40D37E2F" w14:textId="77777777" w:rsidR="00510B81" w:rsidRPr="00255823" w:rsidRDefault="00510B81">
            <w:pPr>
              <w:tabs>
                <w:tab w:val="left" w:pos="1304"/>
              </w:tabs>
              <w:autoSpaceDE w:val="0"/>
              <w:autoSpaceDN w:val="0"/>
              <w:adjustRightInd w:val="0"/>
              <w:rPr>
                <w:iCs/>
                <w:sz w:val="24"/>
                <w:szCs w:val="24"/>
              </w:rPr>
            </w:pPr>
          </w:p>
        </w:tc>
      </w:tr>
      <w:tr w:rsidR="00510B81" w:rsidRPr="00255823" w14:paraId="346EA91C" w14:textId="77777777" w:rsidTr="00255823">
        <w:tc>
          <w:tcPr>
            <w:tcW w:w="2547" w:type="dxa"/>
            <w:hideMark/>
          </w:tcPr>
          <w:p w14:paraId="71BFFFE4" w14:textId="2745D643" w:rsidR="00510B81" w:rsidRPr="00255823" w:rsidRDefault="00510B81">
            <w:pPr>
              <w:tabs>
                <w:tab w:val="left" w:pos="1304"/>
              </w:tabs>
              <w:rPr>
                <w:iCs/>
                <w:sz w:val="24"/>
                <w:szCs w:val="24"/>
              </w:rPr>
            </w:pPr>
            <w:r w:rsidRPr="00255823">
              <w:rPr>
                <w:noProof/>
                <w:sz w:val="24"/>
                <w:szCs w:val="24"/>
              </w:rPr>
              <w:drawing>
                <wp:inline distT="0" distB="0" distL="0" distR="0" wp14:anchorId="6BA002F9" wp14:editId="17B57492">
                  <wp:extent cx="1082040" cy="1120140"/>
                  <wp:effectExtent l="0" t="0" r="3810" b="381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2040" cy="1120140"/>
                          </a:xfrm>
                          <a:prstGeom prst="rect">
                            <a:avLst/>
                          </a:prstGeom>
                          <a:noFill/>
                          <a:ln>
                            <a:noFill/>
                          </a:ln>
                        </pic:spPr>
                      </pic:pic>
                    </a:graphicData>
                  </a:graphic>
                </wp:inline>
              </w:drawing>
            </w:r>
          </w:p>
        </w:tc>
        <w:tc>
          <w:tcPr>
            <w:tcW w:w="6241" w:type="dxa"/>
          </w:tcPr>
          <w:p w14:paraId="6DC8CE8D" w14:textId="77777777" w:rsidR="00510B81" w:rsidRPr="00255823" w:rsidRDefault="00510B81">
            <w:pPr>
              <w:tabs>
                <w:tab w:val="left" w:pos="1304"/>
              </w:tabs>
              <w:autoSpaceDE w:val="0"/>
              <w:autoSpaceDN w:val="0"/>
              <w:adjustRightInd w:val="0"/>
              <w:rPr>
                <w:sz w:val="24"/>
                <w:szCs w:val="24"/>
                <w:lang w:eastAsia="zh-CN"/>
              </w:rPr>
            </w:pPr>
            <w:r w:rsidRPr="00255823">
              <w:rPr>
                <w:b/>
                <w:sz w:val="24"/>
                <w:szCs w:val="24"/>
                <w:lang w:eastAsia="zh-CN"/>
              </w:rPr>
              <w:t>Ryst ikke flasken</w:t>
            </w:r>
            <w:r w:rsidRPr="00255823">
              <w:rPr>
                <w:sz w:val="24"/>
                <w:szCs w:val="24"/>
                <w:lang w:eastAsia="zh-CN"/>
              </w:rPr>
              <w:t xml:space="preserve"> før brug (dette forhindrer skumdannelse).</w:t>
            </w:r>
          </w:p>
          <w:p w14:paraId="4BA8F9D3" w14:textId="77777777" w:rsidR="00510B81" w:rsidRPr="00255823" w:rsidRDefault="00510B81">
            <w:pPr>
              <w:tabs>
                <w:tab w:val="left" w:pos="1304"/>
              </w:tabs>
              <w:autoSpaceDE w:val="0"/>
              <w:autoSpaceDN w:val="0"/>
              <w:adjustRightInd w:val="0"/>
              <w:rPr>
                <w:sz w:val="24"/>
                <w:szCs w:val="24"/>
                <w:lang w:eastAsia="zh-CN"/>
              </w:rPr>
            </w:pPr>
            <w:r w:rsidRPr="00255823">
              <w:rPr>
                <w:sz w:val="24"/>
                <w:szCs w:val="24"/>
                <w:lang w:eastAsia="zh-CN"/>
              </w:rPr>
              <w:t xml:space="preserve">Flasken holdes lodret og åbnes ved at trykke det børnesikrede låg ned </w:t>
            </w:r>
            <w:r w:rsidRPr="00255823">
              <w:rPr>
                <w:b/>
                <w:bCs/>
                <w:sz w:val="24"/>
                <w:szCs w:val="24"/>
                <w:highlight w:val="lightGray"/>
                <w:lang w:eastAsia="zh-CN"/>
              </w:rPr>
              <w:t>A</w:t>
            </w:r>
            <w:r w:rsidRPr="00255823">
              <w:rPr>
                <w:sz w:val="24"/>
                <w:szCs w:val="24"/>
                <w:lang w:eastAsia="zh-CN"/>
              </w:rPr>
              <w:t xml:space="preserve"> og samtidig dreje låget </w:t>
            </w:r>
            <w:r w:rsidRPr="00255823">
              <w:rPr>
                <w:b/>
                <w:bCs/>
                <w:sz w:val="24"/>
                <w:szCs w:val="24"/>
                <w:lang w:eastAsia="zh-CN"/>
              </w:rPr>
              <w:t>mod uret</w:t>
            </w:r>
            <w:r w:rsidRPr="00255823">
              <w:rPr>
                <w:sz w:val="24"/>
                <w:szCs w:val="24"/>
                <w:lang w:eastAsia="zh-CN"/>
              </w:rPr>
              <w:t>.</w:t>
            </w:r>
          </w:p>
          <w:p w14:paraId="2C84DE35" w14:textId="77777777" w:rsidR="00510B81" w:rsidRPr="00255823" w:rsidRDefault="00510B81">
            <w:pPr>
              <w:tabs>
                <w:tab w:val="left" w:pos="1304"/>
              </w:tabs>
              <w:autoSpaceDE w:val="0"/>
              <w:autoSpaceDN w:val="0"/>
              <w:adjustRightInd w:val="0"/>
              <w:rPr>
                <w:sz w:val="24"/>
                <w:szCs w:val="24"/>
                <w:lang w:eastAsia="zh-CN"/>
              </w:rPr>
            </w:pPr>
            <w:r w:rsidRPr="00255823">
              <w:rPr>
                <w:sz w:val="24"/>
                <w:szCs w:val="24"/>
                <w:lang w:eastAsia="zh-CN"/>
              </w:rPr>
              <w:t xml:space="preserve">Kassér det hvide låg </w:t>
            </w:r>
            <w:r w:rsidRPr="00255823">
              <w:rPr>
                <w:b/>
                <w:bCs/>
                <w:sz w:val="24"/>
                <w:szCs w:val="24"/>
                <w:highlight w:val="lightGray"/>
                <w:lang w:eastAsia="zh-CN"/>
              </w:rPr>
              <w:t>A</w:t>
            </w:r>
            <w:r w:rsidRPr="00255823">
              <w:rPr>
                <w:sz w:val="24"/>
                <w:szCs w:val="24"/>
                <w:lang w:eastAsia="zh-CN"/>
              </w:rPr>
              <w:t xml:space="preserve">. </w:t>
            </w:r>
          </w:p>
          <w:p w14:paraId="004D66D5" w14:textId="77777777" w:rsidR="00510B81" w:rsidRPr="00255823" w:rsidRDefault="00510B81">
            <w:pPr>
              <w:tabs>
                <w:tab w:val="left" w:pos="1304"/>
              </w:tabs>
              <w:autoSpaceDE w:val="0"/>
              <w:autoSpaceDN w:val="0"/>
              <w:adjustRightInd w:val="0"/>
              <w:rPr>
                <w:iCs/>
                <w:sz w:val="24"/>
                <w:szCs w:val="24"/>
              </w:rPr>
            </w:pPr>
          </w:p>
        </w:tc>
      </w:tr>
      <w:tr w:rsidR="00510B81" w:rsidRPr="00255823" w14:paraId="6D22F0E8" w14:textId="77777777" w:rsidTr="00255823">
        <w:tc>
          <w:tcPr>
            <w:tcW w:w="2547" w:type="dxa"/>
            <w:hideMark/>
          </w:tcPr>
          <w:p w14:paraId="145A65B4" w14:textId="125442C9" w:rsidR="00510B81" w:rsidRPr="00255823" w:rsidRDefault="00510B81">
            <w:pPr>
              <w:tabs>
                <w:tab w:val="left" w:pos="1304"/>
              </w:tabs>
              <w:rPr>
                <w:iCs/>
                <w:noProof/>
                <w:sz w:val="24"/>
                <w:szCs w:val="24"/>
              </w:rPr>
            </w:pPr>
            <w:r w:rsidRPr="00255823">
              <w:rPr>
                <w:noProof/>
                <w:sz w:val="24"/>
                <w:szCs w:val="24"/>
              </w:rPr>
              <w:lastRenderedPageBreak/>
              <w:drawing>
                <wp:inline distT="0" distB="0" distL="0" distR="0" wp14:anchorId="749EF886" wp14:editId="586769D7">
                  <wp:extent cx="1112520" cy="1097280"/>
                  <wp:effectExtent l="0" t="0" r="0" b="762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520" cy="1097280"/>
                          </a:xfrm>
                          <a:prstGeom prst="rect">
                            <a:avLst/>
                          </a:prstGeom>
                          <a:noFill/>
                          <a:ln>
                            <a:noFill/>
                          </a:ln>
                        </pic:spPr>
                      </pic:pic>
                    </a:graphicData>
                  </a:graphic>
                </wp:inline>
              </w:drawing>
            </w:r>
          </w:p>
        </w:tc>
        <w:tc>
          <w:tcPr>
            <w:tcW w:w="6241" w:type="dxa"/>
            <w:hideMark/>
          </w:tcPr>
          <w:p w14:paraId="6AFC53AC" w14:textId="77777777" w:rsidR="00510B81" w:rsidRPr="00255823" w:rsidRDefault="00510B81">
            <w:pPr>
              <w:tabs>
                <w:tab w:val="left" w:pos="1304"/>
              </w:tabs>
              <w:autoSpaceDE w:val="0"/>
              <w:autoSpaceDN w:val="0"/>
              <w:adjustRightInd w:val="0"/>
              <w:rPr>
                <w:sz w:val="24"/>
                <w:szCs w:val="24"/>
              </w:rPr>
            </w:pPr>
            <w:r w:rsidRPr="00255823">
              <w:rPr>
                <w:sz w:val="24"/>
                <w:szCs w:val="24"/>
                <w:lang w:eastAsia="zh-CN"/>
              </w:rPr>
              <w:t>Luk flasken stramt til med låget</w:t>
            </w:r>
            <w:r w:rsidRPr="00255823">
              <w:rPr>
                <w:b/>
                <w:bCs/>
                <w:sz w:val="24"/>
                <w:szCs w:val="24"/>
                <w:lang w:eastAsia="zh-CN"/>
              </w:rPr>
              <w:t xml:space="preserve"> </w:t>
            </w:r>
            <w:r w:rsidRPr="00255823">
              <w:rPr>
                <w:b/>
                <w:bCs/>
                <w:sz w:val="24"/>
                <w:szCs w:val="24"/>
                <w:highlight w:val="lightGray"/>
                <w:lang w:eastAsia="zh-CN"/>
              </w:rPr>
              <w:t>B</w:t>
            </w:r>
            <w:r w:rsidRPr="00255823">
              <w:rPr>
                <w:b/>
                <w:bCs/>
                <w:sz w:val="24"/>
                <w:szCs w:val="24"/>
                <w:lang w:eastAsia="zh-CN"/>
              </w:rPr>
              <w:t xml:space="preserve"> </w:t>
            </w:r>
            <w:r w:rsidRPr="00255823">
              <w:rPr>
                <w:sz w:val="24"/>
                <w:szCs w:val="24"/>
              </w:rPr>
              <w:t xml:space="preserve">og drej samtidig låget </w:t>
            </w:r>
            <w:r w:rsidRPr="00255823">
              <w:rPr>
                <w:b/>
                <w:bCs/>
                <w:sz w:val="24"/>
                <w:szCs w:val="24"/>
              </w:rPr>
              <w:t>med uret</w:t>
            </w:r>
            <w:r w:rsidRPr="00255823">
              <w:rPr>
                <w:sz w:val="24"/>
                <w:szCs w:val="24"/>
                <w:lang w:eastAsia="zh-CN"/>
              </w:rPr>
              <w:t xml:space="preserve">. Låget </w:t>
            </w:r>
            <w:r w:rsidRPr="00255823">
              <w:rPr>
                <w:b/>
                <w:bCs/>
                <w:sz w:val="24"/>
                <w:szCs w:val="24"/>
                <w:highlight w:val="lightGray"/>
                <w:lang w:eastAsia="zh-CN"/>
              </w:rPr>
              <w:t>B</w:t>
            </w:r>
            <w:r w:rsidRPr="00255823">
              <w:rPr>
                <w:sz w:val="24"/>
                <w:szCs w:val="24"/>
                <w:lang w:eastAsia="zh-CN"/>
              </w:rPr>
              <w:t xml:space="preserve"> indeholder en integreret plugin-adapter, som automatisk sættes fast i flasken </w:t>
            </w:r>
            <w:r w:rsidRPr="00255823">
              <w:rPr>
                <w:b/>
                <w:bCs/>
                <w:sz w:val="24"/>
                <w:szCs w:val="24"/>
                <w:highlight w:val="lightGray"/>
                <w:lang w:eastAsia="zh-CN"/>
              </w:rPr>
              <w:t>A</w:t>
            </w:r>
            <w:r w:rsidRPr="00255823">
              <w:rPr>
                <w:sz w:val="24"/>
                <w:szCs w:val="24"/>
                <w:lang w:eastAsia="zh-CN"/>
              </w:rPr>
              <w:t>. Sørg for, at låget er skruet stramt på, for at sikre at adapteren indsættes rigtigt.</w:t>
            </w:r>
          </w:p>
        </w:tc>
      </w:tr>
      <w:tr w:rsidR="00510B81" w:rsidRPr="00255823" w14:paraId="39013276" w14:textId="77777777" w:rsidTr="00255823">
        <w:tc>
          <w:tcPr>
            <w:tcW w:w="2547" w:type="dxa"/>
            <w:hideMark/>
          </w:tcPr>
          <w:p w14:paraId="7080E532" w14:textId="3057CD20" w:rsidR="00510B81" w:rsidRPr="00255823" w:rsidRDefault="00510B81">
            <w:pPr>
              <w:tabs>
                <w:tab w:val="left" w:pos="1304"/>
              </w:tabs>
              <w:rPr>
                <w:iCs/>
                <w:noProof/>
                <w:sz w:val="24"/>
                <w:szCs w:val="24"/>
              </w:rPr>
            </w:pPr>
            <w:r w:rsidRPr="00255823">
              <w:rPr>
                <w:noProof/>
                <w:sz w:val="24"/>
                <w:szCs w:val="24"/>
              </w:rPr>
              <w:drawing>
                <wp:inline distT="0" distB="0" distL="0" distR="0" wp14:anchorId="11B12671" wp14:editId="1E4DF90B">
                  <wp:extent cx="1196340" cy="1165860"/>
                  <wp:effectExtent l="0" t="0" r="381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165860"/>
                          </a:xfrm>
                          <a:prstGeom prst="rect">
                            <a:avLst/>
                          </a:prstGeom>
                          <a:noFill/>
                          <a:ln>
                            <a:noFill/>
                          </a:ln>
                        </pic:spPr>
                      </pic:pic>
                    </a:graphicData>
                  </a:graphic>
                </wp:inline>
              </w:drawing>
            </w:r>
          </w:p>
        </w:tc>
        <w:tc>
          <w:tcPr>
            <w:tcW w:w="6241" w:type="dxa"/>
            <w:hideMark/>
          </w:tcPr>
          <w:p w14:paraId="1BE5A52E" w14:textId="77777777" w:rsidR="00510B81" w:rsidRPr="00255823" w:rsidRDefault="00510B81">
            <w:pPr>
              <w:tabs>
                <w:tab w:val="left" w:pos="1304"/>
              </w:tabs>
              <w:autoSpaceDE w:val="0"/>
              <w:autoSpaceDN w:val="0"/>
              <w:adjustRightInd w:val="0"/>
              <w:rPr>
                <w:sz w:val="24"/>
                <w:szCs w:val="24"/>
                <w:lang w:eastAsia="zh-CN"/>
              </w:rPr>
            </w:pPr>
            <w:r w:rsidRPr="00255823">
              <w:rPr>
                <w:sz w:val="24"/>
                <w:szCs w:val="24"/>
                <w:lang w:eastAsia="zh-CN"/>
              </w:rPr>
              <w:t xml:space="preserve">Fjern låget </w:t>
            </w:r>
            <w:r w:rsidRPr="00255823">
              <w:rPr>
                <w:b/>
                <w:bCs/>
                <w:sz w:val="24"/>
                <w:szCs w:val="24"/>
                <w:highlight w:val="lightGray"/>
                <w:lang w:eastAsia="zh-CN"/>
              </w:rPr>
              <w:t>B</w:t>
            </w:r>
            <w:r w:rsidRPr="00255823">
              <w:rPr>
                <w:sz w:val="24"/>
                <w:szCs w:val="24"/>
                <w:lang w:eastAsia="zh-CN"/>
              </w:rPr>
              <w:t xml:space="preserve"> fra flasken ved at trykke det børnesikrede låg ned og drej samtidig låget </w:t>
            </w:r>
            <w:r w:rsidRPr="00255823">
              <w:rPr>
                <w:b/>
                <w:bCs/>
                <w:sz w:val="24"/>
                <w:szCs w:val="24"/>
                <w:lang w:eastAsia="zh-CN"/>
              </w:rPr>
              <w:t xml:space="preserve">mod uret. </w:t>
            </w:r>
            <w:r w:rsidRPr="00255823">
              <w:rPr>
                <w:sz w:val="24"/>
                <w:szCs w:val="24"/>
                <w:lang w:eastAsia="zh-CN"/>
              </w:rPr>
              <w:t xml:space="preserve">Sæt forsigtigt doseringssprøjtens spids </w:t>
            </w:r>
            <w:r w:rsidRPr="00255823">
              <w:rPr>
                <w:b/>
                <w:bCs/>
                <w:sz w:val="24"/>
                <w:szCs w:val="24"/>
                <w:highlight w:val="lightGray"/>
                <w:lang w:eastAsia="zh-CN"/>
              </w:rPr>
              <w:t>C</w:t>
            </w:r>
            <w:r w:rsidRPr="00255823">
              <w:rPr>
                <w:sz w:val="24"/>
                <w:szCs w:val="24"/>
                <w:lang w:eastAsia="zh-CN"/>
              </w:rPr>
              <w:t xml:space="preserve"> fast på flaskeadapteren. </w:t>
            </w:r>
          </w:p>
          <w:p w14:paraId="53FE8C7C" w14:textId="77777777" w:rsidR="00510B81" w:rsidRPr="00255823" w:rsidRDefault="00510B81">
            <w:pPr>
              <w:tabs>
                <w:tab w:val="left" w:pos="1304"/>
              </w:tabs>
              <w:autoSpaceDE w:val="0"/>
              <w:autoSpaceDN w:val="0"/>
              <w:adjustRightInd w:val="0"/>
              <w:rPr>
                <w:sz w:val="24"/>
                <w:szCs w:val="24"/>
                <w:lang w:eastAsia="zh-CN"/>
              </w:rPr>
            </w:pPr>
            <w:r w:rsidRPr="00255823">
              <w:rPr>
                <w:sz w:val="24"/>
                <w:szCs w:val="24"/>
                <w:lang w:eastAsia="zh-CN"/>
              </w:rPr>
              <w:t xml:space="preserve">Vend flasken og sprøjten med bunden i vejret. </w:t>
            </w:r>
          </w:p>
          <w:p w14:paraId="6760426B" w14:textId="77777777" w:rsidR="00510B81" w:rsidRPr="00255823" w:rsidRDefault="00510B81">
            <w:pPr>
              <w:tabs>
                <w:tab w:val="left" w:pos="1304"/>
              </w:tabs>
              <w:autoSpaceDE w:val="0"/>
              <w:autoSpaceDN w:val="0"/>
              <w:adjustRightInd w:val="0"/>
              <w:rPr>
                <w:sz w:val="24"/>
                <w:szCs w:val="24"/>
                <w:lang w:eastAsia="zh-CN"/>
              </w:rPr>
            </w:pPr>
            <w:r w:rsidRPr="00255823">
              <w:rPr>
                <w:sz w:val="24"/>
                <w:szCs w:val="24"/>
                <w:lang w:eastAsia="zh-CN"/>
              </w:rPr>
              <w:t xml:space="preserve">Træk stemplet ud og fyld doseringssprøjten til den dosis, som dyrlægen har ordineret. </w:t>
            </w:r>
          </w:p>
          <w:p w14:paraId="72E0E6BF" w14:textId="77777777" w:rsidR="00510B81" w:rsidRPr="00255823" w:rsidRDefault="00510B81">
            <w:pPr>
              <w:tabs>
                <w:tab w:val="left" w:pos="1304"/>
              </w:tabs>
              <w:autoSpaceDE w:val="0"/>
              <w:autoSpaceDN w:val="0"/>
              <w:adjustRightInd w:val="0"/>
              <w:rPr>
                <w:iCs/>
                <w:sz w:val="24"/>
                <w:szCs w:val="24"/>
              </w:rPr>
            </w:pPr>
            <w:r w:rsidRPr="00255823">
              <w:rPr>
                <w:sz w:val="24"/>
                <w:szCs w:val="24"/>
                <w:lang w:eastAsia="zh-CN"/>
              </w:rPr>
              <w:t xml:space="preserve">Vend flasken lodret og fjern doseringssprøjten fra flasken. Luk flasken med låget </w:t>
            </w:r>
            <w:r w:rsidRPr="00255823">
              <w:rPr>
                <w:b/>
                <w:bCs/>
                <w:sz w:val="24"/>
                <w:szCs w:val="24"/>
                <w:highlight w:val="lightGray"/>
                <w:lang w:eastAsia="zh-CN"/>
              </w:rPr>
              <w:t>B</w:t>
            </w:r>
            <w:r w:rsidRPr="00255823">
              <w:rPr>
                <w:sz w:val="24"/>
                <w:szCs w:val="24"/>
                <w:lang w:eastAsia="zh-CN"/>
              </w:rPr>
              <w:t>.</w:t>
            </w:r>
          </w:p>
        </w:tc>
      </w:tr>
      <w:tr w:rsidR="00510B81" w:rsidRPr="00255823" w14:paraId="5CA674E1" w14:textId="77777777" w:rsidTr="00255823">
        <w:tc>
          <w:tcPr>
            <w:tcW w:w="2547" w:type="dxa"/>
            <w:hideMark/>
          </w:tcPr>
          <w:p w14:paraId="7DF9A31E" w14:textId="3988B6A2" w:rsidR="00510B81" w:rsidRPr="00255823" w:rsidRDefault="00510B81">
            <w:pPr>
              <w:tabs>
                <w:tab w:val="left" w:pos="1304"/>
              </w:tabs>
              <w:rPr>
                <w:iCs/>
                <w:noProof/>
                <w:sz w:val="24"/>
                <w:szCs w:val="24"/>
              </w:rPr>
            </w:pPr>
            <w:r w:rsidRPr="00255823">
              <w:rPr>
                <w:noProof/>
                <w:sz w:val="24"/>
                <w:szCs w:val="24"/>
              </w:rPr>
              <w:drawing>
                <wp:inline distT="0" distB="0" distL="0" distR="0" wp14:anchorId="541C76F8" wp14:editId="670803DA">
                  <wp:extent cx="1112520" cy="1097280"/>
                  <wp:effectExtent l="0" t="0" r="0"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2520" cy="1097280"/>
                          </a:xfrm>
                          <a:prstGeom prst="rect">
                            <a:avLst/>
                          </a:prstGeom>
                          <a:noFill/>
                          <a:ln>
                            <a:noFill/>
                          </a:ln>
                        </pic:spPr>
                      </pic:pic>
                    </a:graphicData>
                  </a:graphic>
                </wp:inline>
              </w:drawing>
            </w:r>
          </w:p>
        </w:tc>
        <w:tc>
          <w:tcPr>
            <w:tcW w:w="6241" w:type="dxa"/>
            <w:hideMark/>
          </w:tcPr>
          <w:p w14:paraId="6CF3B653" w14:textId="77777777" w:rsidR="00510B81" w:rsidRPr="00255823" w:rsidRDefault="00510B81">
            <w:pPr>
              <w:tabs>
                <w:tab w:val="left" w:pos="1304"/>
              </w:tabs>
              <w:autoSpaceDE w:val="0"/>
              <w:autoSpaceDN w:val="0"/>
              <w:adjustRightInd w:val="0"/>
              <w:rPr>
                <w:iCs/>
                <w:sz w:val="24"/>
                <w:szCs w:val="24"/>
              </w:rPr>
            </w:pPr>
            <w:r w:rsidRPr="00255823">
              <w:rPr>
                <w:sz w:val="24"/>
                <w:szCs w:val="24"/>
                <w:lang w:eastAsia="zh-CN"/>
              </w:rPr>
              <w:t xml:space="preserve">Kom spidsen af doseringssprøjten </w:t>
            </w:r>
            <w:r w:rsidRPr="00255823">
              <w:rPr>
                <w:b/>
                <w:bCs/>
                <w:sz w:val="24"/>
                <w:szCs w:val="24"/>
                <w:highlight w:val="lightGray"/>
                <w:lang w:eastAsia="zh-CN"/>
              </w:rPr>
              <w:t>C</w:t>
            </w:r>
            <w:r w:rsidRPr="00255823">
              <w:rPr>
                <w:sz w:val="24"/>
                <w:szCs w:val="24"/>
                <w:lang w:eastAsia="zh-CN"/>
              </w:rPr>
              <w:t xml:space="preserve"> i hundens mund og tryk stemplet i bund for at give den ordinerede dosis.</w:t>
            </w:r>
          </w:p>
        </w:tc>
      </w:tr>
    </w:tbl>
    <w:p w14:paraId="04093B79" w14:textId="77777777" w:rsidR="008203A8" w:rsidRPr="00255823" w:rsidRDefault="008203A8" w:rsidP="008203A8">
      <w:pPr>
        <w:tabs>
          <w:tab w:val="left" w:pos="851"/>
        </w:tabs>
        <w:ind w:left="851"/>
        <w:rPr>
          <w:sz w:val="24"/>
          <w:szCs w:val="24"/>
        </w:rPr>
      </w:pPr>
    </w:p>
    <w:p w14:paraId="713B44E1" w14:textId="77777777" w:rsidR="008203A8" w:rsidRPr="00255823" w:rsidRDefault="008203A8" w:rsidP="008203A8">
      <w:pPr>
        <w:tabs>
          <w:tab w:val="left" w:pos="851"/>
        </w:tabs>
        <w:ind w:left="851" w:hanging="851"/>
        <w:rPr>
          <w:b/>
          <w:sz w:val="24"/>
          <w:szCs w:val="24"/>
        </w:rPr>
      </w:pPr>
      <w:r w:rsidRPr="00255823">
        <w:rPr>
          <w:b/>
          <w:sz w:val="24"/>
          <w:szCs w:val="24"/>
        </w:rPr>
        <w:t>3.10</w:t>
      </w:r>
      <w:r w:rsidRPr="00255823">
        <w:rPr>
          <w:b/>
          <w:sz w:val="24"/>
          <w:szCs w:val="24"/>
        </w:rPr>
        <w:tab/>
        <w:t>Symptomer på overdosering (og, hvis relevant, nødforanstaltninger og modgift)</w:t>
      </w:r>
    </w:p>
    <w:p w14:paraId="460098BA" w14:textId="77777777" w:rsidR="00510B81" w:rsidRPr="00255823" w:rsidRDefault="00510B81" w:rsidP="00255823">
      <w:pPr>
        <w:ind w:left="851"/>
        <w:rPr>
          <w:sz w:val="24"/>
          <w:szCs w:val="24"/>
        </w:rPr>
      </w:pPr>
      <w:bookmarkStart w:id="26" w:name="_Hlk177043676"/>
      <w:r w:rsidRPr="00255823">
        <w:rPr>
          <w:sz w:val="24"/>
          <w:szCs w:val="24"/>
        </w:rPr>
        <w:t xml:space="preserve">Overdosering kan medføre en positiv </w:t>
      </w:r>
      <w:proofErr w:type="spellStart"/>
      <w:r w:rsidRPr="00255823">
        <w:rPr>
          <w:sz w:val="24"/>
          <w:szCs w:val="24"/>
        </w:rPr>
        <w:t>kronotrop</w:t>
      </w:r>
      <w:proofErr w:type="spellEnd"/>
      <w:r w:rsidRPr="00255823">
        <w:rPr>
          <w:sz w:val="24"/>
          <w:szCs w:val="24"/>
        </w:rPr>
        <w:t xml:space="preserve"> virkning, opkastning, apati, </w:t>
      </w:r>
      <w:proofErr w:type="spellStart"/>
      <w:r w:rsidRPr="00255823">
        <w:rPr>
          <w:sz w:val="24"/>
          <w:szCs w:val="24"/>
        </w:rPr>
        <w:t>ataksi</w:t>
      </w:r>
      <w:proofErr w:type="spellEnd"/>
      <w:r w:rsidRPr="00255823">
        <w:rPr>
          <w:sz w:val="24"/>
          <w:szCs w:val="24"/>
        </w:rPr>
        <w:t xml:space="preserve">, hjertemislyde eller hypotension. I dette er tilfælde, skal dosis reduceres og en passende symptomatisk behandling iværksættes. </w:t>
      </w:r>
    </w:p>
    <w:p w14:paraId="1FF0009F" w14:textId="77777777" w:rsidR="00510B81" w:rsidRPr="00255823" w:rsidRDefault="00510B81" w:rsidP="00255823">
      <w:pPr>
        <w:ind w:left="851"/>
        <w:rPr>
          <w:sz w:val="24"/>
          <w:szCs w:val="24"/>
        </w:rPr>
      </w:pPr>
      <w:r w:rsidRPr="00255823">
        <w:rPr>
          <w:sz w:val="24"/>
          <w:szCs w:val="24"/>
        </w:rPr>
        <w:t xml:space="preserve">Ved langvarig eksponering (6 måneder) hos raske beaglehunde med 3 til 5 gange den anbefalede dosis, blev fortykkelse af </w:t>
      </w:r>
      <w:proofErr w:type="spellStart"/>
      <w:r w:rsidRPr="00255823">
        <w:rPr>
          <w:sz w:val="24"/>
          <w:szCs w:val="24"/>
        </w:rPr>
        <w:t>mitralklappen</w:t>
      </w:r>
      <w:proofErr w:type="spellEnd"/>
      <w:r w:rsidRPr="00255823">
        <w:rPr>
          <w:sz w:val="24"/>
          <w:szCs w:val="24"/>
        </w:rPr>
        <w:t xml:space="preserve"> og </w:t>
      </w:r>
      <w:proofErr w:type="spellStart"/>
      <w:r w:rsidRPr="00255823">
        <w:rPr>
          <w:sz w:val="24"/>
          <w:szCs w:val="24"/>
        </w:rPr>
        <w:t>venstresidig</w:t>
      </w:r>
      <w:proofErr w:type="spellEnd"/>
      <w:r w:rsidRPr="00255823">
        <w:rPr>
          <w:sz w:val="24"/>
          <w:szCs w:val="24"/>
        </w:rPr>
        <w:t xml:space="preserve"> ventrikelhypertrofi observeret hos nogle hunde. Disse forandringer er af </w:t>
      </w:r>
      <w:proofErr w:type="spellStart"/>
      <w:r w:rsidRPr="00255823">
        <w:rPr>
          <w:sz w:val="24"/>
          <w:szCs w:val="24"/>
        </w:rPr>
        <w:t>farmakodynamisk</w:t>
      </w:r>
      <w:proofErr w:type="spellEnd"/>
      <w:r w:rsidRPr="00255823">
        <w:rPr>
          <w:sz w:val="24"/>
          <w:szCs w:val="24"/>
        </w:rPr>
        <w:t xml:space="preserve"> oprindelse.</w:t>
      </w:r>
      <w:bookmarkEnd w:id="26"/>
    </w:p>
    <w:p w14:paraId="4E5AB65F" w14:textId="77777777" w:rsidR="008203A8" w:rsidRPr="00255823" w:rsidRDefault="008203A8" w:rsidP="008203A8">
      <w:pPr>
        <w:tabs>
          <w:tab w:val="left" w:pos="851"/>
        </w:tabs>
        <w:ind w:left="851"/>
        <w:rPr>
          <w:sz w:val="24"/>
          <w:szCs w:val="24"/>
        </w:rPr>
      </w:pPr>
    </w:p>
    <w:p w14:paraId="09132AFD" w14:textId="77777777" w:rsidR="008203A8" w:rsidRPr="00255823" w:rsidRDefault="008203A8" w:rsidP="008203A8">
      <w:pPr>
        <w:tabs>
          <w:tab w:val="left" w:pos="851"/>
        </w:tabs>
        <w:ind w:left="851" w:hanging="851"/>
        <w:rPr>
          <w:sz w:val="24"/>
          <w:szCs w:val="24"/>
        </w:rPr>
      </w:pPr>
      <w:r w:rsidRPr="00255823">
        <w:rPr>
          <w:b/>
          <w:sz w:val="24"/>
          <w:szCs w:val="24"/>
        </w:rPr>
        <w:t>3.11</w:t>
      </w:r>
      <w:r w:rsidRPr="00255823">
        <w:rPr>
          <w:sz w:val="24"/>
          <w:szCs w:val="24"/>
        </w:rPr>
        <w:tab/>
      </w:r>
      <w:r w:rsidRPr="00255823">
        <w:rPr>
          <w:b/>
          <w:sz w:val="24"/>
          <w:szCs w:val="24"/>
        </w:rPr>
        <w:t>Særlige begrænsninger og betingelser for anvendelse, herunder begrænsninger for anvendelsen af antimikrobielle og antiparasitære veterinærlægemidler for at begrænse risikoen for udvikling af resistens</w:t>
      </w:r>
    </w:p>
    <w:p w14:paraId="6B995530" w14:textId="77777777" w:rsidR="00510B81" w:rsidRPr="00255823" w:rsidRDefault="00510B81" w:rsidP="00255823">
      <w:pPr>
        <w:ind w:left="851"/>
        <w:rPr>
          <w:sz w:val="24"/>
          <w:szCs w:val="24"/>
        </w:rPr>
      </w:pPr>
      <w:r w:rsidRPr="00255823">
        <w:rPr>
          <w:sz w:val="24"/>
          <w:szCs w:val="24"/>
        </w:rPr>
        <w:t>Ikke relevant.</w:t>
      </w:r>
    </w:p>
    <w:p w14:paraId="1C536535" w14:textId="77777777" w:rsidR="008203A8" w:rsidRPr="00255823" w:rsidRDefault="008203A8" w:rsidP="008203A8">
      <w:pPr>
        <w:tabs>
          <w:tab w:val="left" w:pos="851"/>
        </w:tabs>
        <w:ind w:left="851"/>
        <w:rPr>
          <w:sz w:val="24"/>
          <w:szCs w:val="24"/>
        </w:rPr>
      </w:pPr>
    </w:p>
    <w:p w14:paraId="465E6803" w14:textId="77777777" w:rsidR="008203A8" w:rsidRPr="00255823" w:rsidRDefault="008203A8" w:rsidP="008203A8">
      <w:pPr>
        <w:tabs>
          <w:tab w:val="left" w:pos="851"/>
        </w:tabs>
        <w:ind w:left="851" w:hanging="851"/>
        <w:rPr>
          <w:b/>
          <w:sz w:val="24"/>
          <w:szCs w:val="24"/>
        </w:rPr>
      </w:pPr>
      <w:r w:rsidRPr="00255823">
        <w:rPr>
          <w:b/>
          <w:sz w:val="24"/>
          <w:szCs w:val="24"/>
        </w:rPr>
        <w:t>3.12</w:t>
      </w:r>
      <w:r w:rsidRPr="00255823">
        <w:rPr>
          <w:b/>
          <w:sz w:val="24"/>
          <w:szCs w:val="24"/>
        </w:rPr>
        <w:tab/>
        <w:t>Tilbageholdelsestid(er)</w:t>
      </w:r>
    </w:p>
    <w:p w14:paraId="26A1A076" w14:textId="77777777" w:rsidR="00510B81" w:rsidRPr="00255823" w:rsidRDefault="00510B81" w:rsidP="00255823">
      <w:pPr>
        <w:ind w:left="851"/>
        <w:rPr>
          <w:sz w:val="24"/>
          <w:szCs w:val="24"/>
        </w:rPr>
      </w:pPr>
      <w:r w:rsidRPr="00255823">
        <w:rPr>
          <w:sz w:val="24"/>
          <w:szCs w:val="24"/>
        </w:rPr>
        <w:t>Ikke relevant.</w:t>
      </w:r>
    </w:p>
    <w:p w14:paraId="73D2D904" w14:textId="77777777" w:rsidR="008203A8" w:rsidRPr="00255823" w:rsidRDefault="008203A8" w:rsidP="008203A8">
      <w:pPr>
        <w:pStyle w:val="Sidehoved"/>
        <w:tabs>
          <w:tab w:val="clear" w:pos="4819"/>
        </w:tabs>
        <w:ind w:left="851"/>
        <w:rPr>
          <w:szCs w:val="24"/>
        </w:rPr>
      </w:pPr>
    </w:p>
    <w:p w14:paraId="7ADC71B9" w14:textId="77777777" w:rsidR="008203A8" w:rsidRPr="00255823" w:rsidRDefault="008203A8" w:rsidP="008203A8">
      <w:pPr>
        <w:tabs>
          <w:tab w:val="left" w:pos="851"/>
        </w:tabs>
        <w:ind w:left="851"/>
        <w:rPr>
          <w:sz w:val="24"/>
          <w:szCs w:val="24"/>
        </w:rPr>
      </w:pPr>
    </w:p>
    <w:p w14:paraId="7603CF66" w14:textId="37FAC4B2" w:rsidR="008203A8" w:rsidRPr="00255823" w:rsidRDefault="008203A8" w:rsidP="008203A8">
      <w:pPr>
        <w:ind w:left="851" w:hanging="851"/>
        <w:rPr>
          <w:b/>
          <w:sz w:val="24"/>
          <w:szCs w:val="24"/>
        </w:rPr>
      </w:pPr>
      <w:r w:rsidRPr="00255823">
        <w:rPr>
          <w:b/>
          <w:sz w:val="24"/>
          <w:szCs w:val="24"/>
        </w:rPr>
        <w:t>4.</w:t>
      </w:r>
      <w:r w:rsidRPr="00255823">
        <w:rPr>
          <w:b/>
          <w:sz w:val="24"/>
          <w:szCs w:val="24"/>
        </w:rPr>
        <w:tab/>
        <w:t>FARMAKOLOGISKE OPLYSNINGER</w:t>
      </w:r>
    </w:p>
    <w:p w14:paraId="0B386C60" w14:textId="77777777" w:rsidR="008203A8" w:rsidRPr="00255823" w:rsidRDefault="008203A8" w:rsidP="008203A8">
      <w:pPr>
        <w:ind w:left="851"/>
        <w:rPr>
          <w:sz w:val="24"/>
          <w:szCs w:val="24"/>
        </w:rPr>
      </w:pPr>
    </w:p>
    <w:p w14:paraId="0EA25D25" w14:textId="77777777" w:rsidR="008203A8" w:rsidRPr="00255823" w:rsidRDefault="008203A8" w:rsidP="008203A8">
      <w:pPr>
        <w:ind w:left="851" w:hanging="851"/>
        <w:rPr>
          <w:b/>
          <w:sz w:val="24"/>
          <w:szCs w:val="24"/>
        </w:rPr>
      </w:pPr>
      <w:r w:rsidRPr="00255823">
        <w:rPr>
          <w:b/>
          <w:sz w:val="24"/>
          <w:szCs w:val="24"/>
        </w:rPr>
        <w:t>4.1</w:t>
      </w:r>
      <w:r w:rsidRPr="00255823">
        <w:rPr>
          <w:b/>
          <w:sz w:val="24"/>
          <w:szCs w:val="24"/>
        </w:rPr>
        <w:tab/>
      </w:r>
      <w:proofErr w:type="spellStart"/>
      <w:r w:rsidRPr="00255823">
        <w:rPr>
          <w:b/>
          <w:sz w:val="24"/>
          <w:szCs w:val="24"/>
        </w:rPr>
        <w:t>ATCvet</w:t>
      </w:r>
      <w:proofErr w:type="spellEnd"/>
      <w:r w:rsidRPr="00255823">
        <w:rPr>
          <w:b/>
          <w:sz w:val="24"/>
          <w:szCs w:val="24"/>
        </w:rPr>
        <w:t>-kode</w:t>
      </w:r>
    </w:p>
    <w:p w14:paraId="05DC05C0" w14:textId="6458A690" w:rsidR="008203A8" w:rsidRPr="00255823" w:rsidRDefault="00510B81" w:rsidP="008203A8">
      <w:pPr>
        <w:ind w:left="851"/>
        <w:rPr>
          <w:sz w:val="24"/>
          <w:szCs w:val="24"/>
        </w:rPr>
      </w:pPr>
      <w:r w:rsidRPr="00255823">
        <w:rPr>
          <w:bCs/>
          <w:sz w:val="24"/>
          <w:szCs w:val="24"/>
          <w:lang w:val="fr-FR"/>
        </w:rPr>
        <w:t>QC01CE90</w:t>
      </w:r>
    </w:p>
    <w:p w14:paraId="64D537CB" w14:textId="77777777" w:rsidR="008203A8" w:rsidRPr="00255823" w:rsidRDefault="008203A8" w:rsidP="008203A8">
      <w:pPr>
        <w:ind w:left="851"/>
        <w:rPr>
          <w:sz w:val="24"/>
          <w:szCs w:val="24"/>
        </w:rPr>
      </w:pPr>
    </w:p>
    <w:p w14:paraId="62CA448E" w14:textId="77777777" w:rsidR="008203A8" w:rsidRPr="00255823" w:rsidRDefault="008203A8" w:rsidP="008203A8">
      <w:pPr>
        <w:tabs>
          <w:tab w:val="left" w:pos="851"/>
        </w:tabs>
        <w:ind w:left="851" w:hanging="851"/>
        <w:rPr>
          <w:b/>
          <w:sz w:val="24"/>
          <w:szCs w:val="24"/>
        </w:rPr>
      </w:pPr>
      <w:r w:rsidRPr="00255823">
        <w:rPr>
          <w:b/>
          <w:sz w:val="24"/>
          <w:szCs w:val="24"/>
        </w:rPr>
        <w:t>4.2</w:t>
      </w:r>
      <w:r w:rsidRPr="00255823">
        <w:rPr>
          <w:b/>
          <w:sz w:val="24"/>
          <w:szCs w:val="24"/>
        </w:rPr>
        <w:tab/>
      </w:r>
      <w:proofErr w:type="spellStart"/>
      <w:r w:rsidRPr="00255823">
        <w:rPr>
          <w:b/>
          <w:sz w:val="24"/>
          <w:szCs w:val="24"/>
        </w:rPr>
        <w:t>Farmakodynamiske</w:t>
      </w:r>
      <w:proofErr w:type="spellEnd"/>
      <w:r w:rsidRPr="00255823">
        <w:rPr>
          <w:b/>
          <w:sz w:val="24"/>
          <w:szCs w:val="24"/>
        </w:rPr>
        <w:t xml:space="preserve"> oplysninger</w:t>
      </w:r>
    </w:p>
    <w:p w14:paraId="0BE05931" w14:textId="77777777" w:rsidR="00510B81" w:rsidRPr="00255823" w:rsidRDefault="00510B81" w:rsidP="00255823">
      <w:pPr>
        <w:ind w:left="851"/>
        <w:rPr>
          <w:rFonts w:eastAsia="Calibri"/>
          <w:sz w:val="24"/>
          <w:szCs w:val="24"/>
        </w:rPr>
      </w:pPr>
      <w:proofErr w:type="spellStart"/>
      <w:r w:rsidRPr="00255823">
        <w:rPr>
          <w:rFonts w:eastAsia="Calibri"/>
          <w:sz w:val="24"/>
          <w:szCs w:val="24"/>
        </w:rPr>
        <w:t>Pimobendan</w:t>
      </w:r>
      <w:proofErr w:type="spellEnd"/>
      <w:r w:rsidRPr="00255823">
        <w:rPr>
          <w:rFonts w:eastAsia="Calibri"/>
          <w:sz w:val="24"/>
          <w:szCs w:val="24"/>
        </w:rPr>
        <w:t xml:space="preserve">, et </w:t>
      </w:r>
      <w:proofErr w:type="spellStart"/>
      <w:r w:rsidRPr="00255823">
        <w:rPr>
          <w:rFonts w:eastAsia="Calibri"/>
          <w:sz w:val="24"/>
          <w:szCs w:val="24"/>
        </w:rPr>
        <w:t>benzimidazol-pyridazinon</w:t>
      </w:r>
      <w:proofErr w:type="spellEnd"/>
      <w:r w:rsidRPr="00255823">
        <w:rPr>
          <w:rFonts w:eastAsia="Calibri"/>
          <w:sz w:val="24"/>
          <w:szCs w:val="24"/>
        </w:rPr>
        <w:t xml:space="preserve"> derivat, har en positiv inotrop virkning og har udtalte </w:t>
      </w:r>
      <w:proofErr w:type="spellStart"/>
      <w:r w:rsidRPr="00255823">
        <w:rPr>
          <w:rFonts w:eastAsia="Calibri"/>
          <w:sz w:val="24"/>
          <w:szCs w:val="24"/>
        </w:rPr>
        <w:t>vasodilaterende</w:t>
      </w:r>
      <w:proofErr w:type="spellEnd"/>
      <w:r w:rsidRPr="00255823">
        <w:rPr>
          <w:rFonts w:eastAsia="Calibri"/>
          <w:sz w:val="24"/>
          <w:szCs w:val="24"/>
        </w:rPr>
        <w:t xml:space="preserve"> egenskaber.</w:t>
      </w:r>
    </w:p>
    <w:p w14:paraId="38CA709D" w14:textId="77777777" w:rsidR="00510B81" w:rsidRPr="00255823" w:rsidRDefault="00510B81" w:rsidP="00255823">
      <w:pPr>
        <w:ind w:left="851"/>
        <w:rPr>
          <w:rFonts w:eastAsia="Calibri"/>
          <w:sz w:val="24"/>
          <w:szCs w:val="24"/>
        </w:rPr>
      </w:pPr>
    </w:p>
    <w:p w14:paraId="494EF946" w14:textId="77777777" w:rsidR="00510B81" w:rsidRPr="00255823" w:rsidRDefault="00510B81" w:rsidP="00255823">
      <w:pPr>
        <w:ind w:left="851"/>
        <w:rPr>
          <w:rFonts w:eastAsia="Calibri"/>
          <w:sz w:val="24"/>
          <w:szCs w:val="24"/>
        </w:rPr>
      </w:pPr>
      <w:proofErr w:type="spellStart"/>
      <w:r w:rsidRPr="00255823">
        <w:rPr>
          <w:rFonts w:eastAsia="Calibri"/>
          <w:sz w:val="24"/>
          <w:szCs w:val="24"/>
        </w:rPr>
        <w:t>Pimobendans</w:t>
      </w:r>
      <w:proofErr w:type="spellEnd"/>
      <w:r w:rsidRPr="00255823">
        <w:rPr>
          <w:rFonts w:eastAsia="Calibri"/>
          <w:sz w:val="24"/>
          <w:szCs w:val="24"/>
        </w:rPr>
        <w:t xml:space="preserve"> positive inotrope virkning opstår gennem en dobbelt virkningsmekanisme: øget calciumfølsomhed af hjertets </w:t>
      </w:r>
      <w:proofErr w:type="spellStart"/>
      <w:r w:rsidRPr="00255823">
        <w:rPr>
          <w:rFonts w:eastAsia="Calibri"/>
          <w:sz w:val="24"/>
          <w:szCs w:val="24"/>
        </w:rPr>
        <w:t>myofilamenter</w:t>
      </w:r>
      <w:proofErr w:type="spellEnd"/>
      <w:r w:rsidRPr="00255823">
        <w:rPr>
          <w:rFonts w:eastAsia="Calibri"/>
          <w:sz w:val="24"/>
          <w:szCs w:val="24"/>
        </w:rPr>
        <w:t xml:space="preserve"> og hæmning af </w:t>
      </w:r>
      <w:proofErr w:type="spellStart"/>
      <w:r w:rsidRPr="00255823">
        <w:rPr>
          <w:rFonts w:eastAsia="Calibri"/>
          <w:sz w:val="24"/>
          <w:szCs w:val="24"/>
        </w:rPr>
        <w:t>phosphodiesterase</w:t>
      </w:r>
      <w:proofErr w:type="spellEnd"/>
      <w:r w:rsidRPr="00255823">
        <w:rPr>
          <w:rFonts w:eastAsia="Calibri"/>
          <w:sz w:val="24"/>
          <w:szCs w:val="24"/>
        </w:rPr>
        <w:t xml:space="preserve"> III. </w:t>
      </w:r>
    </w:p>
    <w:p w14:paraId="75BDBBC8" w14:textId="77777777" w:rsidR="00510B81" w:rsidRPr="00255823" w:rsidRDefault="00510B81" w:rsidP="00255823">
      <w:pPr>
        <w:ind w:left="851"/>
        <w:rPr>
          <w:rFonts w:eastAsia="Calibri"/>
          <w:sz w:val="24"/>
          <w:szCs w:val="24"/>
        </w:rPr>
      </w:pPr>
      <w:r w:rsidRPr="00255823">
        <w:rPr>
          <w:rFonts w:eastAsia="Calibri"/>
          <w:sz w:val="24"/>
          <w:szCs w:val="24"/>
        </w:rPr>
        <w:lastRenderedPageBreak/>
        <w:t xml:space="preserve">Den positive inotrope virkning udløses således hverken af en virkning svarende til den for hjerteglykosider eller </w:t>
      </w:r>
      <w:proofErr w:type="spellStart"/>
      <w:r w:rsidRPr="00255823">
        <w:rPr>
          <w:rFonts w:eastAsia="Calibri"/>
          <w:sz w:val="24"/>
          <w:szCs w:val="24"/>
        </w:rPr>
        <w:t>sympatomimetisk</w:t>
      </w:r>
      <w:proofErr w:type="spellEnd"/>
      <w:r w:rsidRPr="00255823">
        <w:rPr>
          <w:rFonts w:eastAsia="Calibri"/>
          <w:sz w:val="24"/>
          <w:szCs w:val="24"/>
        </w:rPr>
        <w:t>.</w:t>
      </w:r>
    </w:p>
    <w:p w14:paraId="0AD9E132" w14:textId="77777777" w:rsidR="00510B81" w:rsidRPr="00255823" w:rsidRDefault="00510B81" w:rsidP="00255823">
      <w:pPr>
        <w:ind w:left="851"/>
        <w:rPr>
          <w:rFonts w:eastAsia="Calibri"/>
          <w:sz w:val="24"/>
          <w:szCs w:val="24"/>
        </w:rPr>
      </w:pPr>
      <w:r w:rsidRPr="00255823">
        <w:rPr>
          <w:rFonts w:eastAsia="Calibri"/>
          <w:sz w:val="24"/>
          <w:szCs w:val="24"/>
        </w:rPr>
        <w:t xml:space="preserve">Den </w:t>
      </w:r>
      <w:proofErr w:type="spellStart"/>
      <w:r w:rsidRPr="00255823">
        <w:rPr>
          <w:rFonts w:eastAsia="Calibri"/>
          <w:sz w:val="24"/>
          <w:szCs w:val="24"/>
        </w:rPr>
        <w:t>vasodilaterende</w:t>
      </w:r>
      <w:proofErr w:type="spellEnd"/>
      <w:r w:rsidRPr="00255823">
        <w:rPr>
          <w:rFonts w:eastAsia="Calibri"/>
          <w:sz w:val="24"/>
          <w:szCs w:val="24"/>
        </w:rPr>
        <w:t xml:space="preserve"> virkning skyldes hæmning af </w:t>
      </w:r>
      <w:proofErr w:type="spellStart"/>
      <w:r w:rsidRPr="00255823">
        <w:rPr>
          <w:rFonts w:eastAsia="Calibri"/>
          <w:sz w:val="24"/>
          <w:szCs w:val="24"/>
        </w:rPr>
        <w:t>phospordiesterase</w:t>
      </w:r>
      <w:proofErr w:type="spellEnd"/>
      <w:r w:rsidRPr="00255823">
        <w:rPr>
          <w:rFonts w:eastAsia="Calibri"/>
          <w:sz w:val="24"/>
          <w:szCs w:val="24"/>
        </w:rPr>
        <w:t xml:space="preserve"> III.</w:t>
      </w:r>
    </w:p>
    <w:p w14:paraId="63A0E040" w14:textId="77777777" w:rsidR="00510B81" w:rsidRPr="00255823" w:rsidRDefault="00510B81" w:rsidP="00255823">
      <w:pPr>
        <w:ind w:left="851"/>
        <w:rPr>
          <w:rFonts w:eastAsia="Calibri"/>
          <w:sz w:val="24"/>
          <w:szCs w:val="24"/>
        </w:rPr>
      </w:pPr>
    </w:p>
    <w:p w14:paraId="2DC7F415" w14:textId="77777777" w:rsidR="00510B81" w:rsidRPr="00255823" w:rsidRDefault="00510B81" w:rsidP="00255823">
      <w:pPr>
        <w:ind w:left="851"/>
        <w:rPr>
          <w:rFonts w:eastAsia="Calibri"/>
          <w:sz w:val="24"/>
          <w:szCs w:val="24"/>
        </w:rPr>
      </w:pPr>
      <w:r w:rsidRPr="00255823">
        <w:rPr>
          <w:rFonts w:eastAsia="Calibri"/>
          <w:sz w:val="24"/>
          <w:szCs w:val="24"/>
        </w:rPr>
        <w:t xml:space="preserve">Ved anvendelse til symptomatisk </w:t>
      </w:r>
      <w:proofErr w:type="spellStart"/>
      <w:r w:rsidRPr="00255823">
        <w:rPr>
          <w:rFonts w:eastAsia="Calibri"/>
          <w:sz w:val="24"/>
          <w:szCs w:val="24"/>
        </w:rPr>
        <w:t>valvulær</w:t>
      </w:r>
      <w:proofErr w:type="spellEnd"/>
      <w:r w:rsidRPr="00255823">
        <w:rPr>
          <w:rFonts w:eastAsia="Calibri"/>
          <w:sz w:val="24"/>
          <w:szCs w:val="24"/>
        </w:rPr>
        <w:t xml:space="preserve"> insufficiens i kombination med </w:t>
      </w:r>
      <w:proofErr w:type="spellStart"/>
      <w:r w:rsidRPr="00255823">
        <w:rPr>
          <w:rFonts w:eastAsia="Calibri"/>
          <w:sz w:val="24"/>
          <w:szCs w:val="24"/>
        </w:rPr>
        <w:t>furosemid</w:t>
      </w:r>
      <w:proofErr w:type="spellEnd"/>
      <w:r w:rsidRPr="00255823">
        <w:rPr>
          <w:rFonts w:eastAsia="Calibri"/>
          <w:sz w:val="24"/>
          <w:szCs w:val="24"/>
        </w:rPr>
        <w:t xml:space="preserve">, er det vist, at veterinærlægemidlet forbedrer livskvaliteten og forlænger den forventede levealder hos behandlede hunde. </w:t>
      </w:r>
    </w:p>
    <w:p w14:paraId="6AEB94A1" w14:textId="77777777" w:rsidR="00510B81" w:rsidRPr="00255823" w:rsidRDefault="00510B81" w:rsidP="00255823">
      <w:pPr>
        <w:ind w:left="851"/>
        <w:rPr>
          <w:rFonts w:eastAsia="Calibri"/>
          <w:sz w:val="24"/>
          <w:szCs w:val="24"/>
        </w:rPr>
      </w:pPr>
    </w:p>
    <w:p w14:paraId="6AB1DDDF" w14:textId="77777777" w:rsidR="00510B81" w:rsidRPr="00255823" w:rsidRDefault="00510B81" w:rsidP="00255823">
      <w:pPr>
        <w:ind w:left="851"/>
        <w:rPr>
          <w:rFonts w:eastAsia="Calibri"/>
          <w:sz w:val="24"/>
          <w:szCs w:val="24"/>
        </w:rPr>
      </w:pPr>
      <w:r w:rsidRPr="00255823">
        <w:rPr>
          <w:rFonts w:eastAsia="Calibri"/>
          <w:sz w:val="24"/>
          <w:szCs w:val="24"/>
        </w:rPr>
        <w:t xml:space="preserve">Ved anvendelse i et begrænset antal tilfælde af symptomatisk </w:t>
      </w:r>
      <w:proofErr w:type="spellStart"/>
      <w:r w:rsidRPr="00255823">
        <w:rPr>
          <w:rFonts w:eastAsia="Calibri"/>
          <w:sz w:val="24"/>
          <w:szCs w:val="24"/>
        </w:rPr>
        <w:t>dilateret</w:t>
      </w:r>
      <w:proofErr w:type="spellEnd"/>
      <w:r w:rsidRPr="00255823">
        <w:rPr>
          <w:rFonts w:eastAsia="Calibri"/>
          <w:sz w:val="24"/>
          <w:szCs w:val="24"/>
        </w:rPr>
        <w:t xml:space="preserve"> </w:t>
      </w:r>
      <w:proofErr w:type="spellStart"/>
      <w:r w:rsidRPr="00255823">
        <w:rPr>
          <w:rFonts w:eastAsia="Calibri"/>
          <w:sz w:val="24"/>
          <w:szCs w:val="24"/>
        </w:rPr>
        <w:t>kardiomyopati</w:t>
      </w:r>
      <w:proofErr w:type="spellEnd"/>
      <w:r w:rsidRPr="00255823">
        <w:rPr>
          <w:rFonts w:eastAsia="Calibri"/>
          <w:sz w:val="24"/>
          <w:szCs w:val="24"/>
        </w:rPr>
        <w:t xml:space="preserve"> (DCM) samtidig med </w:t>
      </w:r>
      <w:proofErr w:type="spellStart"/>
      <w:r w:rsidRPr="00255823">
        <w:rPr>
          <w:rFonts w:eastAsia="Calibri"/>
          <w:sz w:val="24"/>
          <w:szCs w:val="24"/>
        </w:rPr>
        <w:t>furosemid</w:t>
      </w:r>
      <w:proofErr w:type="spellEnd"/>
      <w:r w:rsidRPr="00255823">
        <w:rPr>
          <w:rFonts w:eastAsia="Calibri"/>
          <w:sz w:val="24"/>
          <w:szCs w:val="24"/>
        </w:rPr>
        <w:t xml:space="preserve">, </w:t>
      </w:r>
      <w:proofErr w:type="spellStart"/>
      <w:r w:rsidRPr="00255823">
        <w:rPr>
          <w:rFonts w:eastAsia="Calibri"/>
          <w:sz w:val="24"/>
          <w:szCs w:val="24"/>
        </w:rPr>
        <w:t>enalapril</w:t>
      </w:r>
      <w:proofErr w:type="spellEnd"/>
      <w:r w:rsidRPr="00255823">
        <w:rPr>
          <w:rFonts w:eastAsia="Calibri"/>
          <w:sz w:val="24"/>
          <w:szCs w:val="24"/>
        </w:rPr>
        <w:t xml:space="preserve"> og </w:t>
      </w:r>
      <w:proofErr w:type="spellStart"/>
      <w:r w:rsidRPr="00255823">
        <w:rPr>
          <w:rFonts w:eastAsia="Calibri"/>
          <w:sz w:val="24"/>
          <w:szCs w:val="24"/>
        </w:rPr>
        <w:t>digoxin</w:t>
      </w:r>
      <w:proofErr w:type="spellEnd"/>
      <w:r w:rsidRPr="00255823">
        <w:rPr>
          <w:rFonts w:eastAsia="Calibri"/>
          <w:sz w:val="24"/>
          <w:szCs w:val="24"/>
        </w:rPr>
        <w:t xml:space="preserve">, er det vist, at veterinærlægemidlet forbedrer livskvaliteten og forlænger den forventede levealder hos behandlede hunde. </w:t>
      </w:r>
    </w:p>
    <w:p w14:paraId="449997BE" w14:textId="77777777" w:rsidR="00510B81" w:rsidRPr="00255823" w:rsidRDefault="00510B81" w:rsidP="00255823">
      <w:pPr>
        <w:ind w:left="851"/>
        <w:rPr>
          <w:rFonts w:eastAsia="Calibri"/>
          <w:sz w:val="24"/>
          <w:szCs w:val="24"/>
        </w:rPr>
      </w:pPr>
    </w:p>
    <w:p w14:paraId="535F24CC" w14:textId="77777777" w:rsidR="00510B81" w:rsidRPr="00255823" w:rsidRDefault="00510B81" w:rsidP="00255823">
      <w:pPr>
        <w:ind w:left="851"/>
        <w:rPr>
          <w:rFonts w:eastAsia="Calibri"/>
          <w:sz w:val="24"/>
          <w:szCs w:val="24"/>
        </w:rPr>
      </w:pPr>
      <w:r w:rsidRPr="00255823">
        <w:rPr>
          <w:rFonts w:eastAsia="Calibri"/>
          <w:sz w:val="24"/>
          <w:szCs w:val="24"/>
        </w:rPr>
        <w:t xml:space="preserve">I et randomiseret og placebokontrolleret studie med </w:t>
      </w:r>
      <w:proofErr w:type="spellStart"/>
      <w:r w:rsidRPr="00255823">
        <w:rPr>
          <w:rFonts w:eastAsia="Calibri"/>
          <w:sz w:val="24"/>
          <w:szCs w:val="24"/>
        </w:rPr>
        <w:t>dobermann</w:t>
      </w:r>
      <w:proofErr w:type="spellEnd"/>
      <w:r w:rsidRPr="00255823">
        <w:rPr>
          <w:rFonts w:eastAsia="Calibri"/>
          <w:sz w:val="24"/>
          <w:szCs w:val="24"/>
        </w:rPr>
        <w:t xml:space="preserve"> pinscher med præklinisk </w:t>
      </w:r>
      <w:proofErr w:type="spellStart"/>
      <w:r w:rsidRPr="00255823">
        <w:rPr>
          <w:rFonts w:eastAsia="Calibri"/>
          <w:sz w:val="24"/>
          <w:szCs w:val="24"/>
        </w:rPr>
        <w:t>dilateret</w:t>
      </w:r>
      <w:proofErr w:type="spellEnd"/>
      <w:r w:rsidRPr="00255823">
        <w:rPr>
          <w:rFonts w:eastAsia="Calibri"/>
          <w:sz w:val="24"/>
          <w:szCs w:val="24"/>
        </w:rPr>
        <w:t xml:space="preserve"> </w:t>
      </w:r>
      <w:proofErr w:type="spellStart"/>
      <w:r w:rsidRPr="00255823">
        <w:rPr>
          <w:rFonts w:eastAsia="Calibri"/>
          <w:sz w:val="24"/>
          <w:szCs w:val="24"/>
        </w:rPr>
        <w:t>kardiomyopati</w:t>
      </w:r>
      <w:proofErr w:type="spellEnd"/>
      <w:r w:rsidRPr="00255823">
        <w:rPr>
          <w:rFonts w:eastAsia="Calibri"/>
          <w:sz w:val="24"/>
          <w:szCs w:val="24"/>
        </w:rPr>
        <w:t xml:space="preserve"> (asymptomatisk med en forøgelse af venstre ventrikels slut-systoliske og slut-diastoliske diameter efter ekkokardiografisk diagnose) blev perioden frem til indtræden af kongestiv hjerteinsufficiens eller pludselig død forlænget, og overlevelsestiden blev forlænget blandt hunde behandlet med </w:t>
      </w:r>
      <w:proofErr w:type="spellStart"/>
      <w:r w:rsidRPr="00255823">
        <w:rPr>
          <w:rFonts w:eastAsia="Calibri"/>
          <w:sz w:val="24"/>
          <w:szCs w:val="24"/>
        </w:rPr>
        <w:t>pimobendan</w:t>
      </w:r>
      <w:proofErr w:type="spellEnd"/>
      <w:r w:rsidRPr="00255823">
        <w:rPr>
          <w:rFonts w:eastAsia="Calibri"/>
          <w:sz w:val="24"/>
          <w:szCs w:val="24"/>
        </w:rPr>
        <w:t xml:space="preserve">. Derudover sås en reduktion i hjertestørrelsen hos hunde behandlet med </w:t>
      </w:r>
      <w:proofErr w:type="spellStart"/>
      <w:r w:rsidRPr="00255823">
        <w:rPr>
          <w:rFonts w:eastAsia="Calibri"/>
          <w:sz w:val="24"/>
          <w:szCs w:val="24"/>
        </w:rPr>
        <w:t>pimobendan</w:t>
      </w:r>
      <w:proofErr w:type="spellEnd"/>
      <w:r w:rsidRPr="00255823">
        <w:rPr>
          <w:rFonts w:eastAsia="Calibri"/>
          <w:sz w:val="24"/>
          <w:szCs w:val="24"/>
        </w:rPr>
        <w:t xml:space="preserve"> i det prækliniske stadie af </w:t>
      </w:r>
      <w:proofErr w:type="spellStart"/>
      <w:r w:rsidRPr="00255823">
        <w:rPr>
          <w:rFonts w:eastAsia="Calibri"/>
          <w:sz w:val="24"/>
          <w:szCs w:val="24"/>
        </w:rPr>
        <w:t>dilateret</w:t>
      </w:r>
      <w:proofErr w:type="spellEnd"/>
      <w:r w:rsidRPr="00255823">
        <w:rPr>
          <w:rFonts w:eastAsia="Calibri"/>
          <w:sz w:val="24"/>
          <w:szCs w:val="24"/>
        </w:rPr>
        <w:t xml:space="preserve"> </w:t>
      </w:r>
      <w:proofErr w:type="spellStart"/>
      <w:r w:rsidRPr="00255823">
        <w:rPr>
          <w:rFonts w:eastAsia="Calibri"/>
          <w:sz w:val="24"/>
          <w:szCs w:val="24"/>
        </w:rPr>
        <w:t>kardiomyopati</w:t>
      </w:r>
      <w:proofErr w:type="spellEnd"/>
      <w:r w:rsidRPr="00255823">
        <w:rPr>
          <w:rFonts w:eastAsia="Calibri"/>
          <w:sz w:val="24"/>
          <w:szCs w:val="24"/>
        </w:rPr>
        <w:t xml:space="preserve">. Vurdering af virkning er baseret på data fra 19 (af 39) hunde og 25 (af 37) hunde, der nåede det primære effektmål i henholdsvis </w:t>
      </w:r>
      <w:proofErr w:type="spellStart"/>
      <w:r w:rsidRPr="00255823">
        <w:rPr>
          <w:rFonts w:eastAsia="Calibri"/>
          <w:sz w:val="24"/>
          <w:szCs w:val="24"/>
        </w:rPr>
        <w:t>pimobendan</w:t>
      </w:r>
      <w:proofErr w:type="spellEnd"/>
      <w:r w:rsidRPr="00255823">
        <w:rPr>
          <w:rFonts w:eastAsia="Calibri"/>
          <w:sz w:val="24"/>
          <w:szCs w:val="24"/>
        </w:rPr>
        <w:t>- og placebogruppen.</w:t>
      </w:r>
    </w:p>
    <w:p w14:paraId="2ACDECDB" w14:textId="77777777" w:rsidR="008203A8" w:rsidRPr="00255823" w:rsidRDefault="008203A8" w:rsidP="008203A8">
      <w:pPr>
        <w:tabs>
          <w:tab w:val="left" w:pos="851"/>
        </w:tabs>
        <w:ind w:left="851"/>
        <w:rPr>
          <w:sz w:val="24"/>
          <w:szCs w:val="24"/>
        </w:rPr>
      </w:pPr>
    </w:p>
    <w:p w14:paraId="39044947" w14:textId="77777777" w:rsidR="008203A8" w:rsidRPr="00255823" w:rsidRDefault="008203A8" w:rsidP="008203A8">
      <w:pPr>
        <w:tabs>
          <w:tab w:val="left" w:pos="851"/>
        </w:tabs>
        <w:ind w:left="851" w:hanging="851"/>
        <w:rPr>
          <w:b/>
          <w:sz w:val="24"/>
          <w:szCs w:val="24"/>
        </w:rPr>
      </w:pPr>
      <w:r w:rsidRPr="00255823">
        <w:rPr>
          <w:b/>
          <w:sz w:val="24"/>
          <w:szCs w:val="24"/>
        </w:rPr>
        <w:t>4.3</w:t>
      </w:r>
      <w:r w:rsidRPr="00255823">
        <w:rPr>
          <w:b/>
          <w:sz w:val="24"/>
          <w:szCs w:val="24"/>
        </w:rPr>
        <w:tab/>
      </w:r>
      <w:proofErr w:type="spellStart"/>
      <w:r w:rsidRPr="00255823">
        <w:rPr>
          <w:b/>
          <w:sz w:val="24"/>
          <w:szCs w:val="24"/>
        </w:rPr>
        <w:t>Farmakokinetiske</w:t>
      </w:r>
      <w:proofErr w:type="spellEnd"/>
      <w:r w:rsidRPr="00255823">
        <w:rPr>
          <w:b/>
          <w:sz w:val="24"/>
          <w:szCs w:val="24"/>
        </w:rPr>
        <w:t xml:space="preserve"> oplysninger</w:t>
      </w:r>
    </w:p>
    <w:p w14:paraId="6EC54C59" w14:textId="77777777" w:rsidR="00AF2E15" w:rsidRDefault="00AF2E15" w:rsidP="00255823">
      <w:pPr>
        <w:ind w:left="851"/>
        <w:rPr>
          <w:sz w:val="24"/>
          <w:szCs w:val="24"/>
        </w:rPr>
      </w:pPr>
    </w:p>
    <w:p w14:paraId="240E85F3" w14:textId="57049EC7" w:rsidR="00510B81" w:rsidRPr="00AF2E15" w:rsidRDefault="00510B81" w:rsidP="00255823">
      <w:pPr>
        <w:ind w:left="851"/>
        <w:rPr>
          <w:sz w:val="24"/>
          <w:szCs w:val="24"/>
          <w:u w:val="single"/>
        </w:rPr>
      </w:pPr>
      <w:r w:rsidRPr="00AF2E15">
        <w:rPr>
          <w:sz w:val="24"/>
          <w:szCs w:val="24"/>
          <w:u w:val="single"/>
        </w:rPr>
        <w:t>Absorption</w:t>
      </w:r>
    </w:p>
    <w:p w14:paraId="5C358A1A" w14:textId="77777777" w:rsidR="00510B81" w:rsidRPr="00255823" w:rsidRDefault="00510B81" w:rsidP="00255823">
      <w:pPr>
        <w:ind w:left="851"/>
        <w:rPr>
          <w:sz w:val="24"/>
          <w:szCs w:val="24"/>
        </w:rPr>
      </w:pPr>
      <w:r w:rsidRPr="00255823">
        <w:rPr>
          <w:sz w:val="24"/>
          <w:szCs w:val="24"/>
        </w:rPr>
        <w:t xml:space="preserve">Efter oral administration af dette veterinærlægemiddel er den absolutte biotilgængelighed af det aktive stof 60-63 %. Da samtidigt eller tidligere foderindtag reducerer biotilgængeligheden, bør </w:t>
      </w:r>
      <w:proofErr w:type="spellStart"/>
      <w:r w:rsidRPr="00255823">
        <w:rPr>
          <w:sz w:val="24"/>
          <w:szCs w:val="24"/>
        </w:rPr>
        <w:t>pimobendan</w:t>
      </w:r>
      <w:proofErr w:type="spellEnd"/>
      <w:r w:rsidRPr="00255823">
        <w:rPr>
          <w:sz w:val="24"/>
          <w:szCs w:val="24"/>
        </w:rPr>
        <w:t xml:space="preserve"> gives ca. 1 time før fodring. </w:t>
      </w:r>
    </w:p>
    <w:p w14:paraId="0CFFE496" w14:textId="77777777" w:rsidR="00510B81" w:rsidRPr="00255823" w:rsidRDefault="00510B81" w:rsidP="00255823">
      <w:pPr>
        <w:ind w:left="851"/>
        <w:rPr>
          <w:sz w:val="24"/>
          <w:szCs w:val="24"/>
        </w:rPr>
      </w:pPr>
    </w:p>
    <w:p w14:paraId="4FF0F980" w14:textId="674C19D9" w:rsidR="00510B81" w:rsidRPr="00AF2E15" w:rsidRDefault="00510B81" w:rsidP="00255823">
      <w:pPr>
        <w:ind w:left="851"/>
        <w:rPr>
          <w:sz w:val="24"/>
          <w:szCs w:val="24"/>
          <w:u w:val="single"/>
        </w:rPr>
      </w:pPr>
      <w:r w:rsidRPr="00AF2E15">
        <w:rPr>
          <w:sz w:val="24"/>
          <w:szCs w:val="24"/>
          <w:u w:val="single"/>
        </w:rPr>
        <w:t>Distribution</w:t>
      </w:r>
    </w:p>
    <w:p w14:paraId="6AA08761" w14:textId="77777777" w:rsidR="00510B81" w:rsidRPr="00255823" w:rsidRDefault="00510B81" w:rsidP="00255823">
      <w:pPr>
        <w:ind w:left="851"/>
        <w:rPr>
          <w:sz w:val="24"/>
          <w:szCs w:val="24"/>
        </w:rPr>
      </w:pPr>
      <w:r w:rsidRPr="00255823">
        <w:rPr>
          <w:sz w:val="24"/>
          <w:szCs w:val="24"/>
        </w:rPr>
        <w:t xml:space="preserve">Fordelingsvolumenet er 2,6 l/kg, hvilket indikerer, at </w:t>
      </w:r>
      <w:proofErr w:type="spellStart"/>
      <w:r w:rsidRPr="00255823">
        <w:rPr>
          <w:sz w:val="24"/>
          <w:szCs w:val="24"/>
        </w:rPr>
        <w:t>pimobendan</w:t>
      </w:r>
      <w:proofErr w:type="spellEnd"/>
      <w:r w:rsidRPr="00255823">
        <w:rPr>
          <w:sz w:val="24"/>
          <w:szCs w:val="24"/>
        </w:rPr>
        <w:t xml:space="preserve"> let fordeles i vævene. Den gennemsnitlige plasmaproteinbinding er 93 %.</w:t>
      </w:r>
    </w:p>
    <w:p w14:paraId="2B7672F3" w14:textId="77777777" w:rsidR="00510B81" w:rsidRPr="00255823" w:rsidRDefault="00510B81" w:rsidP="00255823">
      <w:pPr>
        <w:ind w:left="851"/>
        <w:rPr>
          <w:sz w:val="24"/>
          <w:szCs w:val="24"/>
        </w:rPr>
      </w:pPr>
    </w:p>
    <w:p w14:paraId="7A249E87" w14:textId="6D8886B3" w:rsidR="00510B81" w:rsidRPr="00AF2E15" w:rsidRDefault="00510B81" w:rsidP="00255823">
      <w:pPr>
        <w:ind w:left="851"/>
        <w:rPr>
          <w:sz w:val="24"/>
          <w:szCs w:val="24"/>
          <w:u w:val="single"/>
        </w:rPr>
      </w:pPr>
      <w:r w:rsidRPr="00AF2E15">
        <w:rPr>
          <w:sz w:val="24"/>
          <w:szCs w:val="24"/>
          <w:u w:val="single"/>
        </w:rPr>
        <w:t>Metabolisme</w:t>
      </w:r>
    </w:p>
    <w:p w14:paraId="69E2A178" w14:textId="77777777" w:rsidR="00510B81" w:rsidRPr="00255823" w:rsidRDefault="00510B81" w:rsidP="00255823">
      <w:pPr>
        <w:ind w:left="851"/>
        <w:rPr>
          <w:sz w:val="24"/>
          <w:szCs w:val="24"/>
        </w:rPr>
      </w:pPr>
      <w:r w:rsidRPr="00255823">
        <w:rPr>
          <w:sz w:val="24"/>
          <w:szCs w:val="24"/>
        </w:rPr>
        <w:t xml:space="preserve">Ved </w:t>
      </w:r>
      <w:proofErr w:type="spellStart"/>
      <w:r w:rsidRPr="00255823">
        <w:rPr>
          <w:sz w:val="24"/>
          <w:szCs w:val="24"/>
        </w:rPr>
        <w:t>oxidativ</w:t>
      </w:r>
      <w:proofErr w:type="spellEnd"/>
      <w:r w:rsidRPr="00255823">
        <w:rPr>
          <w:sz w:val="24"/>
          <w:szCs w:val="24"/>
        </w:rPr>
        <w:t xml:space="preserve"> </w:t>
      </w:r>
      <w:proofErr w:type="spellStart"/>
      <w:r w:rsidRPr="00255823">
        <w:rPr>
          <w:sz w:val="24"/>
          <w:szCs w:val="24"/>
        </w:rPr>
        <w:t>demethylering</w:t>
      </w:r>
      <w:proofErr w:type="spellEnd"/>
      <w:r w:rsidRPr="00255823">
        <w:rPr>
          <w:sz w:val="24"/>
          <w:szCs w:val="24"/>
        </w:rPr>
        <w:t xml:space="preserve"> dannes den aktive hovedmetabolit (UD-CG 212). Fortsatte </w:t>
      </w:r>
      <w:proofErr w:type="spellStart"/>
      <w:r w:rsidRPr="00255823">
        <w:rPr>
          <w:sz w:val="24"/>
          <w:szCs w:val="24"/>
        </w:rPr>
        <w:t>metaboliseringsveje</w:t>
      </w:r>
      <w:proofErr w:type="spellEnd"/>
      <w:r w:rsidRPr="00255823">
        <w:rPr>
          <w:sz w:val="24"/>
          <w:szCs w:val="24"/>
        </w:rPr>
        <w:t xml:space="preserve"> er fase II-</w:t>
      </w:r>
      <w:proofErr w:type="spellStart"/>
      <w:r w:rsidRPr="00255823">
        <w:rPr>
          <w:sz w:val="24"/>
          <w:szCs w:val="24"/>
        </w:rPr>
        <w:t>konjugater</w:t>
      </w:r>
      <w:proofErr w:type="spellEnd"/>
      <w:r w:rsidRPr="00255823">
        <w:rPr>
          <w:sz w:val="24"/>
          <w:szCs w:val="24"/>
        </w:rPr>
        <w:t xml:space="preserve"> af UD-GC-212, såsom </w:t>
      </w:r>
      <w:proofErr w:type="spellStart"/>
      <w:r w:rsidRPr="00255823">
        <w:rPr>
          <w:sz w:val="24"/>
          <w:szCs w:val="24"/>
        </w:rPr>
        <w:t>glucuronider</w:t>
      </w:r>
      <w:proofErr w:type="spellEnd"/>
      <w:r w:rsidRPr="00255823">
        <w:rPr>
          <w:sz w:val="24"/>
          <w:szCs w:val="24"/>
        </w:rPr>
        <w:t xml:space="preserve"> og sulfater.</w:t>
      </w:r>
    </w:p>
    <w:p w14:paraId="36595F52" w14:textId="77777777" w:rsidR="00510B81" w:rsidRPr="00255823" w:rsidRDefault="00510B81" w:rsidP="00255823">
      <w:pPr>
        <w:ind w:left="851"/>
        <w:rPr>
          <w:sz w:val="24"/>
          <w:szCs w:val="24"/>
        </w:rPr>
      </w:pPr>
    </w:p>
    <w:p w14:paraId="1DAAA7C1" w14:textId="29A47E4F" w:rsidR="00510B81" w:rsidRPr="00AF2E15" w:rsidRDefault="00510B81" w:rsidP="00255823">
      <w:pPr>
        <w:ind w:left="851"/>
        <w:rPr>
          <w:sz w:val="24"/>
          <w:szCs w:val="24"/>
          <w:u w:val="single"/>
        </w:rPr>
      </w:pPr>
      <w:r w:rsidRPr="00AF2E15">
        <w:rPr>
          <w:sz w:val="24"/>
          <w:szCs w:val="24"/>
          <w:u w:val="single"/>
        </w:rPr>
        <w:t>Eliminering</w:t>
      </w:r>
    </w:p>
    <w:p w14:paraId="36F25E39" w14:textId="77777777" w:rsidR="00510B81" w:rsidRPr="00255823" w:rsidRDefault="00510B81" w:rsidP="00255823">
      <w:pPr>
        <w:ind w:left="851"/>
        <w:rPr>
          <w:sz w:val="24"/>
          <w:szCs w:val="24"/>
        </w:rPr>
      </w:pPr>
      <w:r w:rsidRPr="00255823">
        <w:rPr>
          <w:sz w:val="24"/>
          <w:szCs w:val="24"/>
        </w:rPr>
        <w:t xml:space="preserve">Plasmahalveringstiden for </w:t>
      </w:r>
      <w:proofErr w:type="spellStart"/>
      <w:r w:rsidRPr="00255823">
        <w:rPr>
          <w:sz w:val="24"/>
          <w:szCs w:val="24"/>
        </w:rPr>
        <w:t>pimobendan</w:t>
      </w:r>
      <w:proofErr w:type="spellEnd"/>
      <w:r w:rsidRPr="00255823">
        <w:rPr>
          <w:sz w:val="24"/>
          <w:szCs w:val="24"/>
        </w:rPr>
        <w:t xml:space="preserve"> er 0,8 ± 0,4 timer, hvilket er i overensstemmelse med den høje </w:t>
      </w:r>
      <w:proofErr w:type="spellStart"/>
      <w:r w:rsidRPr="00255823">
        <w:rPr>
          <w:sz w:val="24"/>
          <w:szCs w:val="24"/>
        </w:rPr>
        <w:t>clearance</w:t>
      </w:r>
      <w:proofErr w:type="spellEnd"/>
      <w:r w:rsidRPr="00255823">
        <w:rPr>
          <w:sz w:val="24"/>
          <w:szCs w:val="24"/>
        </w:rPr>
        <w:t xml:space="preserve"> på 90 ± 19 ml/min/kg og en kort gennemsnitlig opholdstid på 1,6 ± 0,6 timer. </w:t>
      </w:r>
    </w:p>
    <w:p w14:paraId="0B1572A6" w14:textId="77777777" w:rsidR="00510B81" w:rsidRPr="00255823" w:rsidRDefault="00510B81" w:rsidP="00255823">
      <w:pPr>
        <w:ind w:left="851"/>
        <w:rPr>
          <w:sz w:val="24"/>
          <w:szCs w:val="24"/>
        </w:rPr>
      </w:pPr>
      <w:r w:rsidRPr="00255823">
        <w:rPr>
          <w:sz w:val="24"/>
          <w:szCs w:val="24"/>
        </w:rPr>
        <w:t>Den vigtigste aktive metabolit elimineres med en plasmahalveringstid på 1,8 ± 0,6 timer. Næsten hele dosis udskilles via fæces.</w:t>
      </w:r>
    </w:p>
    <w:p w14:paraId="4D63EFEF" w14:textId="77777777" w:rsidR="008203A8" w:rsidRPr="00255823" w:rsidRDefault="008203A8" w:rsidP="008203A8">
      <w:pPr>
        <w:ind w:left="851"/>
        <w:rPr>
          <w:sz w:val="24"/>
          <w:szCs w:val="24"/>
        </w:rPr>
      </w:pPr>
    </w:p>
    <w:p w14:paraId="0DF89352" w14:textId="77777777" w:rsidR="008203A8" w:rsidRPr="00255823" w:rsidRDefault="008203A8" w:rsidP="008203A8">
      <w:pPr>
        <w:tabs>
          <w:tab w:val="left" w:pos="851"/>
        </w:tabs>
        <w:ind w:left="851"/>
        <w:rPr>
          <w:sz w:val="24"/>
          <w:szCs w:val="24"/>
        </w:rPr>
      </w:pPr>
    </w:p>
    <w:p w14:paraId="14386F0F" w14:textId="77777777" w:rsidR="008203A8" w:rsidRPr="00255823" w:rsidRDefault="008203A8" w:rsidP="008203A8">
      <w:pPr>
        <w:ind w:left="851" w:hanging="851"/>
        <w:rPr>
          <w:b/>
          <w:sz w:val="24"/>
          <w:szCs w:val="24"/>
        </w:rPr>
      </w:pPr>
      <w:r w:rsidRPr="00255823">
        <w:rPr>
          <w:b/>
          <w:sz w:val="24"/>
          <w:szCs w:val="24"/>
        </w:rPr>
        <w:t>5.</w:t>
      </w:r>
      <w:r w:rsidRPr="00255823">
        <w:rPr>
          <w:b/>
          <w:sz w:val="24"/>
          <w:szCs w:val="24"/>
        </w:rPr>
        <w:tab/>
        <w:t>FARMACEUTISKE OPLYSNINGER</w:t>
      </w:r>
    </w:p>
    <w:p w14:paraId="540943C0" w14:textId="77777777" w:rsidR="008203A8" w:rsidRPr="00255823" w:rsidRDefault="008203A8" w:rsidP="008203A8">
      <w:pPr>
        <w:tabs>
          <w:tab w:val="left" w:pos="851"/>
        </w:tabs>
        <w:ind w:left="851"/>
        <w:rPr>
          <w:sz w:val="24"/>
          <w:szCs w:val="24"/>
        </w:rPr>
      </w:pPr>
    </w:p>
    <w:p w14:paraId="02790A86" w14:textId="77777777" w:rsidR="008203A8" w:rsidRPr="00255823" w:rsidRDefault="008203A8" w:rsidP="008203A8">
      <w:pPr>
        <w:ind w:left="851" w:hanging="851"/>
        <w:rPr>
          <w:b/>
          <w:sz w:val="24"/>
          <w:szCs w:val="24"/>
        </w:rPr>
      </w:pPr>
      <w:r w:rsidRPr="00255823">
        <w:rPr>
          <w:b/>
          <w:sz w:val="24"/>
          <w:szCs w:val="24"/>
        </w:rPr>
        <w:t>5.1</w:t>
      </w:r>
      <w:r w:rsidRPr="00255823">
        <w:rPr>
          <w:b/>
          <w:sz w:val="24"/>
          <w:szCs w:val="24"/>
        </w:rPr>
        <w:tab/>
        <w:t>Væsentlige uforligeligheder</w:t>
      </w:r>
    </w:p>
    <w:p w14:paraId="566C6CC7" w14:textId="77777777" w:rsidR="00510B81" w:rsidRPr="00255823" w:rsidRDefault="00510B81" w:rsidP="00255823">
      <w:pPr>
        <w:ind w:left="851"/>
        <w:rPr>
          <w:sz w:val="24"/>
          <w:szCs w:val="24"/>
        </w:rPr>
      </w:pPr>
      <w:bookmarkStart w:id="27" w:name="_Hlk188532157"/>
      <w:r w:rsidRPr="00255823">
        <w:rPr>
          <w:sz w:val="24"/>
          <w:szCs w:val="24"/>
        </w:rPr>
        <w:t>Da der ikke er undersøgelser vedrørende eventuelle uforligeligheder, må dette veterinærlægemiddel ikke blandes med andre veterinærlægemidler.</w:t>
      </w:r>
      <w:bookmarkEnd w:id="27"/>
    </w:p>
    <w:p w14:paraId="17AEAB5B" w14:textId="77777777" w:rsidR="008203A8" w:rsidRPr="00255823" w:rsidRDefault="008203A8" w:rsidP="008203A8">
      <w:pPr>
        <w:tabs>
          <w:tab w:val="left" w:pos="851"/>
        </w:tabs>
        <w:ind w:left="851"/>
        <w:rPr>
          <w:sz w:val="24"/>
          <w:szCs w:val="24"/>
        </w:rPr>
      </w:pPr>
    </w:p>
    <w:p w14:paraId="22F0717E" w14:textId="77777777" w:rsidR="008203A8" w:rsidRPr="00255823" w:rsidRDefault="008203A8" w:rsidP="008203A8">
      <w:pPr>
        <w:ind w:left="851" w:hanging="851"/>
        <w:rPr>
          <w:b/>
          <w:sz w:val="24"/>
          <w:szCs w:val="24"/>
        </w:rPr>
      </w:pPr>
      <w:r w:rsidRPr="00255823">
        <w:rPr>
          <w:b/>
          <w:sz w:val="24"/>
          <w:szCs w:val="24"/>
        </w:rPr>
        <w:lastRenderedPageBreak/>
        <w:t>5.2</w:t>
      </w:r>
      <w:r w:rsidRPr="00255823">
        <w:rPr>
          <w:b/>
          <w:sz w:val="24"/>
          <w:szCs w:val="24"/>
        </w:rPr>
        <w:tab/>
        <w:t>Opbevaringstid</w:t>
      </w:r>
    </w:p>
    <w:p w14:paraId="4367095F" w14:textId="77777777" w:rsidR="00510B81" w:rsidRPr="00255823" w:rsidRDefault="00510B81" w:rsidP="00255823">
      <w:pPr>
        <w:ind w:left="851"/>
        <w:rPr>
          <w:sz w:val="24"/>
          <w:szCs w:val="24"/>
        </w:rPr>
      </w:pPr>
      <w:bookmarkStart w:id="28" w:name="_Hlk177062042"/>
      <w:r w:rsidRPr="00255823">
        <w:rPr>
          <w:sz w:val="24"/>
          <w:szCs w:val="24"/>
        </w:rPr>
        <w:t>Opbevaringstid for veterinærlægemidlet i salgspakning: 2 år.</w:t>
      </w:r>
    </w:p>
    <w:p w14:paraId="62DF53A2" w14:textId="77777777" w:rsidR="00510B81" w:rsidRPr="00255823" w:rsidRDefault="00510B81" w:rsidP="00255823">
      <w:pPr>
        <w:ind w:left="851"/>
        <w:rPr>
          <w:sz w:val="24"/>
          <w:szCs w:val="24"/>
        </w:rPr>
      </w:pPr>
      <w:r w:rsidRPr="00255823">
        <w:rPr>
          <w:sz w:val="24"/>
          <w:szCs w:val="24"/>
        </w:rPr>
        <w:t>Opbevaringstid efter første åbning af den indre emballage: 8 uger.</w:t>
      </w:r>
      <w:bookmarkEnd w:id="28"/>
    </w:p>
    <w:p w14:paraId="66C3A458" w14:textId="77777777" w:rsidR="008203A8" w:rsidRPr="00255823" w:rsidRDefault="008203A8" w:rsidP="008203A8">
      <w:pPr>
        <w:tabs>
          <w:tab w:val="left" w:pos="851"/>
        </w:tabs>
        <w:ind w:left="851"/>
        <w:rPr>
          <w:sz w:val="24"/>
          <w:szCs w:val="24"/>
        </w:rPr>
      </w:pPr>
    </w:p>
    <w:p w14:paraId="7A84A466" w14:textId="77777777" w:rsidR="008203A8" w:rsidRPr="00255823" w:rsidRDefault="008203A8" w:rsidP="008203A8">
      <w:pPr>
        <w:ind w:left="851" w:hanging="851"/>
        <w:rPr>
          <w:b/>
          <w:sz w:val="24"/>
          <w:szCs w:val="24"/>
        </w:rPr>
      </w:pPr>
      <w:r w:rsidRPr="00255823">
        <w:rPr>
          <w:b/>
          <w:sz w:val="24"/>
          <w:szCs w:val="24"/>
        </w:rPr>
        <w:t>5.3</w:t>
      </w:r>
      <w:r w:rsidRPr="00255823">
        <w:rPr>
          <w:b/>
          <w:sz w:val="24"/>
          <w:szCs w:val="24"/>
        </w:rPr>
        <w:tab/>
        <w:t>Særlige forholdsregler vedrørende opbevaring</w:t>
      </w:r>
    </w:p>
    <w:p w14:paraId="4724DEB5" w14:textId="77777777" w:rsidR="00510B81" w:rsidRPr="00255823" w:rsidRDefault="00510B81" w:rsidP="00255823">
      <w:pPr>
        <w:ind w:left="851"/>
        <w:rPr>
          <w:sz w:val="24"/>
          <w:szCs w:val="24"/>
        </w:rPr>
      </w:pPr>
      <w:r w:rsidRPr="00255823">
        <w:rPr>
          <w:sz w:val="24"/>
          <w:szCs w:val="24"/>
        </w:rPr>
        <w:t>Opbevares under 30 °C.</w:t>
      </w:r>
    </w:p>
    <w:p w14:paraId="211BADEE" w14:textId="77777777" w:rsidR="008203A8" w:rsidRPr="00255823" w:rsidRDefault="008203A8" w:rsidP="008203A8">
      <w:pPr>
        <w:tabs>
          <w:tab w:val="left" w:pos="851"/>
        </w:tabs>
        <w:ind w:left="851"/>
        <w:rPr>
          <w:sz w:val="24"/>
          <w:szCs w:val="24"/>
        </w:rPr>
      </w:pPr>
    </w:p>
    <w:p w14:paraId="3DEC5A3A" w14:textId="77777777" w:rsidR="008203A8" w:rsidRPr="00255823" w:rsidRDefault="008203A8" w:rsidP="008203A8">
      <w:pPr>
        <w:ind w:left="851" w:hanging="851"/>
        <w:rPr>
          <w:b/>
          <w:sz w:val="24"/>
          <w:szCs w:val="24"/>
        </w:rPr>
      </w:pPr>
      <w:r w:rsidRPr="00255823">
        <w:rPr>
          <w:b/>
          <w:sz w:val="24"/>
          <w:szCs w:val="24"/>
        </w:rPr>
        <w:t>5.4</w:t>
      </w:r>
      <w:r w:rsidRPr="00255823">
        <w:rPr>
          <w:b/>
          <w:sz w:val="24"/>
          <w:szCs w:val="24"/>
        </w:rPr>
        <w:tab/>
        <w:t>Den indre emballages art og indhold</w:t>
      </w:r>
    </w:p>
    <w:p w14:paraId="265B4B10" w14:textId="77777777" w:rsidR="00510B81" w:rsidRPr="00255823" w:rsidRDefault="00510B81" w:rsidP="00255823">
      <w:pPr>
        <w:ind w:left="851"/>
        <w:rPr>
          <w:sz w:val="24"/>
          <w:szCs w:val="24"/>
        </w:rPr>
      </w:pPr>
      <w:r w:rsidRPr="00255823">
        <w:rPr>
          <w:sz w:val="24"/>
          <w:szCs w:val="24"/>
        </w:rPr>
        <w:t>Ravfarvet glasflaske (type III glas) med et børnesikret PP-låg. Et ekstra børnesikret PP-låg med integreret LDPE plugin-adapter og en 2 ml sprøjte med PP cylinder og HDPE-stempel.</w:t>
      </w:r>
    </w:p>
    <w:p w14:paraId="175B6BEC" w14:textId="77777777" w:rsidR="00510B81" w:rsidRPr="00255823" w:rsidRDefault="00510B81" w:rsidP="00255823">
      <w:pPr>
        <w:ind w:left="851"/>
        <w:rPr>
          <w:sz w:val="24"/>
          <w:szCs w:val="24"/>
        </w:rPr>
      </w:pPr>
      <w:bookmarkStart w:id="29" w:name="_Hlk177062374"/>
      <w:r w:rsidRPr="00255823">
        <w:rPr>
          <w:sz w:val="24"/>
          <w:szCs w:val="24"/>
        </w:rPr>
        <w:t>Kartonæske med 1 flaske fyldt med 50 ml og 1 doseringssprøjte forsynet med en skala for legemsvægt i kg med trin på 0,5 kg.</w:t>
      </w:r>
    </w:p>
    <w:bookmarkEnd w:id="29"/>
    <w:p w14:paraId="6977B1D0" w14:textId="77777777" w:rsidR="008203A8" w:rsidRPr="00255823" w:rsidRDefault="008203A8" w:rsidP="008203A8">
      <w:pPr>
        <w:tabs>
          <w:tab w:val="left" w:pos="851"/>
        </w:tabs>
        <w:ind w:left="851"/>
        <w:rPr>
          <w:sz w:val="24"/>
          <w:szCs w:val="24"/>
        </w:rPr>
      </w:pPr>
    </w:p>
    <w:p w14:paraId="2FED5DCB" w14:textId="77777777" w:rsidR="008203A8" w:rsidRPr="00255823" w:rsidRDefault="008203A8" w:rsidP="008203A8">
      <w:pPr>
        <w:tabs>
          <w:tab w:val="left" w:pos="851"/>
        </w:tabs>
        <w:ind w:left="851" w:hanging="851"/>
        <w:rPr>
          <w:sz w:val="24"/>
          <w:szCs w:val="24"/>
        </w:rPr>
      </w:pPr>
      <w:r w:rsidRPr="00255823">
        <w:rPr>
          <w:b/>
          <w:sz w:val="24"/>
          <w:szCs w:val="24"/>
        </w:rPr>
        <w:t>5.5</w:t>
      </w:r>
      <w:r w:rsidRPr="00255823">
        <w:rPr>
          <w:b/>
          <w:sz w:val="24"/>
          <w:szCs w:val="24"/>
        </w:rPr>
        <w:tab/>
        <w:t>Særlige forholdsregler vedrørende bortskaffelse af ubrugte veterinærlægemidler eller affaldsmaterialer fra brugen heraf</w:t>
      </w:r>
    </w:p>
    <w:p w14:paraId="700EEF20" w14:textId="77777777" w:rsidR="00510B81" w:rsidRPr="00255823" w:rsidRDefault="00510B81" w:rsidP="00255823">
      <w:pPr>
        <w:ind w:left="851"/>
        <w:rPr>
          <w:sz w:val="24"/>
          <w:szCs w:val="24"/>
        </w:rPr>
      </w:pPr>
      <w:r w:rsidRPr="00255823">
        <w:rPr>
          <w:sz w:val="24"/>
          <w:szCs w:val="24"/>
        </w:rPr>
        <w:t>Lægemidler må ikke bortskaffes sammen med spildevand eller husholdningsaffald.</w:t>
      </w:r>
    </w:p>
    <w:p w14:paraId="07F890E5" w14:textId="77777777" w:rsidR="00510B81" w:rsidRPr="00255823" w:rsidRDefault="00510B81" w:rsidP="00255823">
      <w:pPr>
        <w:ind w:left="851"/>
        <w:rPr>
          <w:sz w:val="24"/>
          <w:szCs w:val="24"/>
        </w:rPr>
      </w:pPr>
      <w:r w:rsidRPr="00255823">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6264EE6E" w14:textId="77777777" w:rsidR="008203A8" w:rsidRPr="00255823" w:rsidRDefault="008203A8" w:rsidP="008203A8">
      <w:pPr>
        <w:tabs>
          <w:tab w:val="left" w:pos="851"/>
        </w:tabs>
        <w:ind w:left="851"/>
        <w:rPr>
          <w:sz w:val="24"/>
          <w:szCs w:val="24"/>
        </w:rPr>
      </w:pPr>
    </w:p>
    <w:p w14:paraId="551BE5E0" w14:textId="77777777" w:rsidR="008203A8" w:rsidRPr="00255823" w:rsidRDefault="008203A8" w:rsidP="008203A8">
      <w:pPr>
        <w:tabs>
          <w:tab w:val="left" w:pos="851"/>
        </w:tabs>
        <w:ind w:left="851" w:hanging="851"/>
        <w:rPr>
          <w:b/>
          <w:sz w:val="24"/>
          <w:szCs w:val="24"/>
        </w:rPr>
      </w:pPr>
      <w:r w:rsidRPr="00255823">
        <w:rPr>
          <w:b/>
          <w:sz w:val="24"/>
          <w:szCs w:val="24"/>
        </w:rPr>
        <w:t>6.</w:t>
      </w:r>
      <w:r w:rsidRPr="00255823">
        <w:rPr>
          <w:b/>
          <w:sz w:val="24"/>
          <w:szCs w:val="24"/>
        </w:rPr>
        <w:tab/>
        <w:t>NAVN PÅ INDEHAVEREN AF MARKEDSFØRINGSTILLADELSEN</w:t>
      </w:r>
    </w:p>
    <w:p w14:paraId="14321932" w14:textId="77777777" w:rsidR="00510B81" w:rsidRPr="00255823" w:rsidRDefault="00510B81" w:rsidP="00255823">
      <w:pPr>
        <w:ind w:left="851"/>
        <w:rPr>
          <w:sz w:val="24"/>
          <w:szCs w:val="24"/>
        </w:rPr>
      </w:pPr>
      <w:bookmarkStart w:id="30" w:name="_Hlk177042951"/>
      <w:r w:rsidRPr="00255823">
        <w:rPr>
          <w:sz w:val="24"/>
          <w:szCs w:val="24"/>
        </w:rPr>
        <w:t xml:space="preserve">Boehringer Ingelheim </w:t>
      </w:r>
      <w:proofErr w:type="spellStart"/>
      <w:r w:rsidRPr="00255823">
        <w:rPr>
          <w:sz w:val="24"/>
          <w:szCs w:val="24"/>
        </w:rPr>
        <w:t>Vetmedica</w:t>
      </w:r>
      <w:proofErr w:type="spellEnd"/>
      <w:r w:rsidRPr="00255823">
        <w:rPr>
          <w:sz w:val="24"/>
          <w:szCs w:val="24"/>
        </w:rPr>
        <w:t xml:space="preserve"> GmbH</w:t>
      </w:r>
    </w:p>
    <w:bookmarkEnd w:id="30"/>
    <w:p w14:paraId="60FD533A" w14:textId="77777777" w:rsidR="00510B81" w:rsidRPr="00255823" w:rsidRDefault="00510B81" w:rsidP="00255823">
      <w:pPr>
        <w:ind w:left="851"/>
        <w:rPr>
          <w:sz w:val="24"/>
          <w:szCs w:val="24"/>
        </w:rPr>
      </w:pPr>
      <w:r w:rsidRPr="00255823">
        <w:rPr>
          <w:sz w:val="24"/>
          <w:szCs w:val="24"/>
        </w:rPr>
        <w:t>Binger Str. 173</w:t>
      </w:r>
    </w:p>
    <w:p w14:paraId="716EC906" w14:textId="77777777" w:rsidR="00510B81" w:rsidRPr="00255823" w:rsidRDefault="00510B81" w:rsidP="00255823">
      <w:pPr>
        <w:ind w:left="851"/>
        <w:rPr>
          <w:sz w:val="24"/>
          <w:szCs w:val="24"/>
        </w:rPr>
      </w:pPr>
      <w:r w:rsidRPr="00255823">
        <w:rPr>
          <w:sz w:val="24"/>
          <w:szCs w:val="24"/>
        </w:rPr>
        <w:t>55216 Ingelheim</w:t>
      </w:r>
    </w:p>
    <w:p w14:paraId="4222D162" w14:textId="77777777" w:rsidR="00510B81" w:rsidRPr="00255823" w:rsidRDefault="00510B81" w:rsidP="00255823">
      <w:pPr>
        <w:ind w:left="851"/>
        <w:rPr>
          <w:sz w:val="24"/>
          <w:szCs w:val="24"/>
        </w:rPr>
      </w:pPr>
      <w:r w:rsidRPr="00255823">
        <w:rPr>
          <w:sz w:val="24"/>
          <w:szCs w:val="24"/>
        </w:rPr>
        <w:t>Tyskland</w:t>
      </w:r>
    </w:p>
    <w:p w14:paraId="24C8DBC9" w14:textId="77777777" w:rsidR="008203A8" w:rsidRPr="00255823" w:rsidRDefault="008203A8" w:rsidP="00255823">
      <w:pPr>
        <w:ind w:left="851"/>
        <w:rPr>
          <w:sz w:val="24"/>
          <w:szCs w:val="24"/>
        </w:rPr>
      </w:pPr>
    </w:p>
    <w:p w14:paraId="48A4652B" w14:textId="77777777" w:rsidR="008203A8" w:rsidRPr="00255823" w:rsidRDefault="008203A8" w:rsidP="00255823">
      <w:pPr>
        <w:ind w:left="851"/>
        <w:rPr>
          <w:b/>
          <w:sz w:val="24"/>
          <w:szCs w:val="24"/>
        </w:rPr>
      </w:pPr>
      <w:r w:rsidRPr="00255823">
        <w:rPr>
          <w:b/>
          <w:sz w:val="24"/>
          <w:szCs w:val="24"/>
        </w:rPr>
        <w:t>Repræsentant</w:t>
      </w:r>
    </w:p>
    <w:p w14:paraId="044804A8" w14:textId="77777777" w:rsidR="00510B81" w:rsidRPr="00255823" w:rsidRDefault="00510B81" w:rsidP="00255823">
      <w:pPr>
        <w:ind w:left="851"/>
        <w:rPr>
          <w:sz w:val="24"/>
          <w:szCs w:val="24"/>
        </w:rPr>
      </w:pPr>
      <w:r w:rsidRPr="00255823">
        <w:rPr>
          <w:sz w:val="24"/>
          <w:szCs w:val="24"/>
        </w:rPr>
        <w:t>Boehringer Ingelheim Animal Health Nordics A/S</w:t>
      </w:r>
    </w:p>
    <w:p w14:paraId="59E75E79" w14:textId="77777777" w:rsidR="00510B81" w:rsidRPr="00255823" w:rsidRDefault="00510B81" w:rsidP="00255823">
      <w:pPr>
        <w:ind w:left="851"/>
        <w:rPr>
          <w:sz w:val="24"/>
          <w:szCs w:val="24"/>
        </w:rPr>
      </w:pPr>
      <w:proofErr w:type="spellStart"/>
      <w:r w:rsidRPr="00255823">
        <w:rPr>
          <w:sz w:val="24"/>
          <w:szCs w:val="24"/>
        </w:rPr>
        <w:t>Weidekampsgade</w:t>
      </w:r>
      <w:proofErr w:type="spellEnd"/>
      <w:r w:rsidRPr="00255823">
        <w:rPr>
          <w:sz w:val="24"/>
          <w:szCs w:val="24"/>
        </w:rPr>
        <w:t xml:space="preserve"> 14</w:t>
      </w:r>
    </w:p>
    <w:p w14:paraId="1C201FB3" w14:textId="77777777" w:rsidR="00510B81" w:rsidRPr="00255823" w:rsidRDefault="00510B81" w:rsidP="00255823">
      <w:pPr>
        <w:ind w:left="851"/>
        <w:rPr>
          <w:sz w:val="24"/>
          <w:szCs w:val="24"/>
        </w:rPr>
      </w:pPr>
      <w:r w:rsidRPr="00255823">
        <w:rPr>
          <w:sz w:val="24"/>
          <w:szCs w:val="24"/>
        </w:rPr>
        <w:t>2300 København S</w:t>
      </w:r>
    </w:p>
    <w:p w14:paraId="0F1B213C" w14:textId="77777777" w:rsidR="008203A8" w:rsidRPr="00255823" w:rsidRDefault="008203A8" w:rsidP="008203A8">
      <w:pPr>
        <w:tabs>
          <w:tab w:val="left" w:pos="851"/>
        </w:tabs>
        <w:ind w:left="851"/>
        <w:rPr>
          <w:sz w:val="24"/>
          <w:szCs w:val="24"/>
        </w:rPr>
      </w:pPr>
    </w:p>
    <w:p w14:paraId="1ED6B505" w14:textId="77777777" w:rsidR="008203A8" w:rsidRPr="00255823" w:rsidRDefault="008203A8" w:rsidP="008203A8">
      <w:pPr>
        <w:ind w:left="851" w:hanging="851"/>
        <w:rPr>
          <w:b/>
          <w:sz w:val="24"/>
          <w:szCs w:val="24"/>
        </w:rPr>
      </w:pPr>
      <w:r w:rsidRPr="00255823">
        <w:rPr>
          <w:b/>
          <w:sz w:val="24"/>
          <w:szCs w:val="24"/>
        </w:rPr>
        <w:t>7.</w:t>
      </w:r>
      <w:r w:rsidRPr="00255823">
        <w:rPr>
          <w:b/>
          <w:sz w:val="24"/>
          <w:szCs w:val="24"/>
        </w:rPr>
        <w:tab/>
        <w:t>MARKEDSFØRINGSTILLADELSESNUMMER (-NUMRE)</w:t>
      </w:r>
    </w:p>
    <w:p w14:paraId="2DEB3977" w14:textId="125A8E33" w:rsidR="008203A8" w:rsidRPr="00255823" w:rsidRDefault="00510B81" w:rsidP="008203A8">
      <w:pPr>
        <w:tabs>
          <w:tab w:val="left" w:pos="851"/>
        </w:tabs>
        <w:ind w:left="851"/>
        <w:rPr>
          <w:sz w:val="24"/>
          <w:szCs w:val="24"/>
        </w:rPr>
      </w:pPr>
      <w:r w:rsidRPr="00255823">
        <w:rPr>
          <w:sz w:val="24"/>
          <w:szCs w:val="24"/>
        </w:rPr>
        <w:t>71983</w:t>
      </w:r>
    </w:p>
    <w:p w14:paraId="340849FF" w14:textId="77777777" w:rsidR="008203A8" w:rsidRPr="00255823" w:rsidRDefault="008203A8" w:rsidP="008203A8">
      <w:pPr>
        <w:tabs>
          <w:tab w:val="left" w:pos="851"/>
        </w:tabs>
        <w:ind w:left="851"/>
        <w:rPr>
          <w:sz w:val="24"/>
          <w:szCs w:val="24"/>
        </w:rPr>
      </w:pPr>
    </w:p>
    <w:p w14:paraId="3D0B8538" w14:textId="77777777" w:rsidR="008203A8" w:rsidRPr="00255823" w:rsidRDefault="008203A8" w:rsidP="008203A8">
      <w:pPr>
        <w:tabs>
          <w:tab w:val="left" w:pos="851"/>
        </w:tabs>
        <w:ind w:left="851" w:hanging="851"/>
        <w:rPr>
          <w:b/>
          <w:sz w:val="24"/>
          <w:szCs w:val="24"/>
        </w:rPr>
      </w:pPr>
      <w:r w:rsidRPr="00255823">
        <w:rPr>
          <w:b/>
          <w:sz w:val="24"/>
          <w:szCs w:val="24"/>
        </w:rPr>
        <w:t>8.</w:t>
      </w:r>
      <w:r w:rsidRPr="00255823">
        <w:rPr>
          <w:b/>
          <w:sz w:val="24"/>
          <w:szCs w:val="24"/>
        </w:rPr>
        <w:tab/>
        <w:t>DATO FOR FØRSTE TILLADELSE</w:t>
      </w:r>
    </w:p>
    <w:p w14:paraId="7E02770D" w14:textId="58D4C22A" w:rsidR="008203A8" w:rsidRPr="00255823" w:rsidRDefault="00510B81" w:rsidP="008203A8">
      <w:pPr>
        <w:tabs>
          <w:tab w:val="left" w:pos="851"/>
        </w:tabs>
        <w:ind w:left="851"/>
        <w:rPr>
          <w:sz w:val="24"/>
          <w:szCs w:val="24"/>
        </w:rPr>
      </w:pPr>
      <w:r w:rsidRPr="00255823">
        <w:rPr>
          <w:sz w:val="24"/>
          <w:szCs w:val="24"/>
        </w:rPr>
        <w:t>1. juni 2015 (injektionsvæske, opløsning)</w:t>
      </w:r>
    </w:p>
    <w:p w14:paraId="3F9E3964" w14:textId="77777777" w:rsidR="008203A8" w:rsidRPr="00255823" w:rsidRDefault="008203A8" w:rsidP="008203A8">
      <w:pPr>
        <w:tabs>
          <w:tab w:val="left" w:pos="851"/>
        </w:tabs>
        <w:ind w:left="851"/>
        <w:rPr>
          <w:sz w:val="24"/>
          <w:szCs w:val="24"/>
        </w:rPr>
      </w:pPr>
    </w:p>
    <w:p w14:paraId="340C7AFC" w14:textId="77777777" w:rsidR="008203A8" w:rsidRPr="00255823" w:rsidRDefault="008203A8" w:rsidP="008203A8">
      <w:pPr>
        <w:tabs>
          <w:tab w:val="left" w:pos="851"/>
        </w:tabs>
        <w:ind w:left="851" w:hanging="851"/>
        <w:rPr>
          <w:b/>
          <w:sz w:val="24"/>
          <w:szCs w:val="24"/>
        </w:rPr>
      </w:pPr>
      <w:r w:rsidRPr="00255823">
        <w:rPr>
          <w:b/>
          <w:sz w:val="24"/>
          <w:szCs w:val="24"/>
        </w:rPr>
        <w:t>9.</w:t>
      </w:r>
      <w:r w:rsidRPr="00255823">
        <w:rPr>
          <w:b/>
          <w:sz w:val="24"/>
          <w:szCs w:val="24"/>
        </w:rPr>
        <w:tab/>
        <w:t>DATO FOR SENESTE ÆNDRING AF PRODUKTRESUMÉET</w:t>
      </w:r>
    </w:p>
    <w:p w14:paraId="5DD6DE3A" w14:textId="47831D1B" w:rsidR="008203A8" w:rsidRPr="00255823" w:rsidRDefault="00510B81" w:rsidP="008203A8">
      <w:pPr>
        <w:tabs>
          <w:tab w:val="left" w:pos="851"/>
        </w:tabs>
        <w:ind w:left="851"/>
        <w:rPr>
          <w:sz w:val="24"/>
          <w:szCs w:val="24"/>
        </w:rPr>
      </w:pPr>
      <w:r w:rsidRPr="00255823">
        <w:rPr>
          <w:sz w:val="24"/>
          <w:szCs w:val="24"/>
        </w:rPr>
        <w:t>-</w:t>
      </w:r>
    </w:p>
    <w:p w14:paraId="17183841" w14:textId="77777777" w:rsidR="008203A8" w:rsidRPr="00255823" w:rsidRDefault="008203A8" w:rsidP="008203A8">
      <w:pPr>
        <w:tabs>
          <w:tab w:val="left" w:pos="851"/>
        </w:tabs>
        <w:ind w:left="851"/>
        <w:rPr>
          <w:sz w:val="24"/>
          <w:szCs w:val="24"/>
        </w:rPr>
      </w:pPr>
    </w:p>
    <w:p w14:paraId="1732DFA5" w14:textId="77777777" w:rsidR="008203A8" w:rsidRPr="00255823" w:rsidRDefault="008203A8" w:rsidP="008203A8">
      <w:pPr>
        <w:tabs>
          <w:tab w:val="left" w:pos="851"/>
        </w:tabs>
        <w:ind w:left="851" w:hanging="851"/>
        <w:rPr>
          <w:b/>
          <w:sz w:val="24"/>
          <w:szCs w:val="24"/>
        </w:rPr>
      </w:pPr>
      <w:r w:rsidRPr="00255823">
        <w:rPr>
          <w:b/>
          <w:sz w:val="24"/>
          <w:szCs w:val="24"/>
        </w:rPr>
        <w:t>10.</w:t>
      </w:r>
      <w:r w:rsidRPr="00255823">
        <w:rPr>
          <w:b/>
          <w:sz w:val="24"/>
          <w:szCs w:val="24"/>
        </w:rPr>
        <w:tab/>
        <w:t>KLASSIFICERING AF VETERINÆRLÆGEMIDLER</w:t>
      </w:r>
    </w:p>
    <w:p w14:paraId="016AEF36" w14:textId="32D24C5F" w:rsidR="00510B81" w:rsidRPr="00255823" w:rsidRDefault="00510B81" w:rsidP="00255823">
      <w:pPr>
        <w:ind w:left="851"/>
        <w:rPr>
          <w:sz w:val="24"/>
          <w:szCs w:val="24"/>
        </w:rPr>
      </w:pPr>
      <w:bookmarkStart w:id="31" w:name="_Hlk177062334"/>
      <w:r w:rsidRPr="00255823">
        <w:rPr>
          <w:sz w:val="24"/>
          <w:szCs w:val="24"/>
        </w:rPr>
        <w:t>B</w:t>
      </w:r>
    </w:p>
    <w:p w14:paraId="7E679ED7" w14:textId="77777777" w:rsidR="00510B81" w:rsidRPr="00255823" w:rsidRDefault="00510B81" w:rsidP="00255823">
      <w:pPr>
        <w:ind w:left="851"/>
        <w:rPr>
          <w:sz w:val="24"/>
          <w:szCs w:val="24"/>
        </w:rPr>
      </w:pPr>
      <w:bookmarkStart w:id="32" w:name="_Hlk73467306"/>
      <w:bookmarkEnd w:id="31"/>
    </w:p>
    <w:p w14:paraId="2F1DEC06" w14:textId="4ECE2F97" w:rsidR="0003527F" w:rsidRPr="00255823" w:rsidRDefault="00510B81" w:rsidP="00255823">
      <w:pPr>
        <w:ind w:left="851"/>
        <w:rPr>
          <w:sz w:val="24"/>
          <w:szCs w:val="24"/>
        </w:rPr>
      </w:pPr>
      <w:r w:rsidRPr="00255823">
        <w:rPr>
          <w:sz w:val="24"/>
          <w:szCs w:val="24"/>
        </w:rPr>
        <w:t>Der findes detaljerede oplysninger om dette veterinærlægemiddel i EU-lægemiddel</w:t>
      </w:r>
      <w:r w:rsidR="00103AD3">
        <w:rPr>
          <w:sz w:val="24"/>
          <w:szCs w:val="24"/>
        </w:rPr>
        <w:softHyphen/>
      </w:r>
      <w:r w:rsidRPr="00255823">
        <w:rPr>
          <w:sz w:val="24"/>
          <w:szCs w:val="24"/>
        </w:rPr>
        <w:t>databasen (</w:t>
      </w:r>
      <w:hyperlink r:id="rId13" w:history="1">
        <w:r w:rsidRPr="00255823">
          <w:rPr>
            <w:rStyle w:val="Hyperlink"/>
            <w:sz w:val="24"/>
            <w:szCs w:val="24"/>
          </w:rPr>
          <w:t>https://medicines.health.europa.eu/veterinary</w:t>
        </w:r>
      </w:hyperlink>
      <w:r w:rsidRPr="00255823">
        <w:rPr>
          <w:sz w:val="24"/>
          <w:szCs w:val="24"/>
        </w:rPr>
        <w:t>).</w:t>
      </w:r>
      <w:bookmarkEnd w:id="32"/>
    </w:p>
    <w:sectPr w:rsidR="0003527F" w:rsidRPr="00255823" w:rsidSect="00C479BF">
      <w:headerReference w:type="default" r:id="rId14"/>
      <w:footerReference w:type="default" r:id="rId15"/>
      <w:headerReference w:type="first" r:id="rId16"/>
      <w:footerReference w:type="first" r:id="rId17"/>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321BA0" w14:textId="77777777" w:rsidR="006569F3" w:rsidRDefault="006569F3">
      <w:r>
        <w:separator/>
      </w:r>
    </w:p>
  </w:endnote>
  <w:endnote w:type="continuationSeparator" w:id="0">
    <w:p w14:paraId="67A18F28" w14:textId="77777777" w:rsidR="006569F3" w:rsidRDefault="00656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E55ECD" w14:textId="77777777" w:rsidR="004A62CC" w:rsidRDefault="004A62CC">
    <w:pPr>
      <w:pStyle w:val="Sidefod"/>
      <w:pBdr>
        <w:bottom w:val="single" w:sz="6" w:space="1" w:color="auto"/>
      </w:pBdr>
      <w:tabs>
        <w:tab w:val="clear" w:pos="4819"/>
        <w:tab w:val="left" w:pos="8647"/>
      </w:tabs>
      <w:rPr>
        <w:i/>
        <w:snapToGrid w:val="0"/>
        <w:sz w:val="18"/>
      </w:rPr>
    </w:pPr>
  </w:p>
  <w:p w14:paraId="49729638" w14:textId="77777777" w:rsidR="004A62CC" w:rsidRDefault="004A62CC">
    <w:pPr>
      <w:pStyle w:val="Sidefod"/>
      <w:tabs>
        <w:tab w:val="clear" w:pos="4819"/>
        <w:tab w:val="left" w:pos="8647"/>
      </w:tabs>
      <w:rPr>
        <w:i/>
        <w:snapToGrid w:val="0"/>
        <w:sz w:val="18"/>
      </w:rPr>
    </w:pPr>
  </w:p>
  <w:p w14:paraId="4BF9C194" w14:textId="54BB40A5"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03AD3">
      <w:rPr>
        <w:i/>
        <w:noProof/>
        <w:snapToGrid w:val="0"/>
        <w:sz w:val="18"/>
      </w:rPr>
      <w:t>Vetmedin Vet., oral opløsning 1,5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A6CA4" w14:textId="77777777" w:rsidR="004A62CC" w:rsidRDefault="004A62CC">
    <w:pPr>
      <w:pStyle w:val="Sidefod"/>
      <w:pBdr>
        <w:bottom w:val="single" w:sz="6" w:space="1" w:color="auto"/>
      </w:pBdr>
      <w:tabs>
        <w:tab w:val="clear" w:pos="4819"/>
        <w:tab w:val="left" w:pos="8647"/>
      </w:tabs>
      <w:rPr>
        <w:i/>
        <w:snapToGrid w:val="0"/>
        <w:sz w:val="18"/>
      </w:rPr>
    </w:pPr>
  </w:p>
  <w:p w14:paraId="4D7681C8" w14:textId="77777777" w:rsidR="004A62CC" w:rsidRDefault="004A62CC">
    <w:pPr>
      <w:pStyle w:val="Sidefod"/>
      <w:tabs>
        <w:tab w:val="clear" w:pos="4819"/>
        <w:tab w:val="left" w:pos="8647"/>
      </w:tabs>
      <w:rPr>
        <w:i/>
        <w:snapToGrid w:val="0"/>
        <w:sz w:val="18"/>
      </w:rPr>
    </w:pPr>
  </w:p>
  <w:p w14:paraId="565DA3F5" w14:textId="1291DE3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103AD3">
      <w:rPr>
        <w:i/>
        <w:noProof/>
        <w:snapToGrid w:val="0"/>
        <w:sz w:val="18"/>
      </w:rPr>
      <w:t>Vetmedin Vet., oral opløsning 1,5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763786" w14:textId="77777777" w:rsidR="006569F3" w:rsidRDefault="006569F3">
      <w:r>
        <w:separator/>
      </w:r>
    </w:p>
  </w:footnote>
  <w:footnote w:type="continuationSeparator" w:id="0">
    <w:p w14:paraId="45E0B2A4" w14:textId="77777777" w:rsidR="006569F3" w:rsidRDefault="006569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1EE77"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6C8E8"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9F3"/>
    <w:rsid w:val="000241E8"/>
    <w:rsid w:val="0003527F"/>
    <w:rsid w:val="0004390D"/>
    <w:rsid w:val="0005355A"/>
    <w:rsid w:val="00065C7D"/>
    <w:rsid w:val="00092AFF"/>
    <w:rsid w:val="000A707F"/>
    <w:rsid w:val="000B102C"/>
    <w:rsid w:val="000C6CD4"/>
    <w:rsid w:val="00103AD3"/>
    <w:rsid w:val="00131D7A"/>
    <w:rsid w:val="001577E4"/>
    <w:rsid w:val="001623D2"/>
    <w:rsid w:val="00162A88"/>
    <w:rsid w:val="00173F52"/>
    <w:rsid w:val="0018534D"/>
    <w:rsid w:val="001858CA"/>
    <w:rsid w:val="001869DB"/>
    <w:rsid w:val="001903E6"/>
    <w:rsid w:val="001C4AEF"/>
    <w:rsid w:val="001D3CC5"/>
    <w:rsid w:val="00202A14"/>
    <w:rsid w:val="00207C0E"/>
    <w:rsid w:val="00255823"/>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C733C"/>
    <w:rsid w:val="00510B81"/>
    <w:rsid w:val="00514C36"/>
    <w:rsid w:val="00565A74"/>
    <w:rsid w:val="005B0036"/>
    <w:rsid w:val="005D1DAA"/>
    <w:rsid w:val="005E336B"/>
    <w:rsid w:val="005F5831"/>
    <w:rsid w:val="00601E64"/>
    <w:rsid w:val="0061389F"/>
    <w:rsid w:val="00614110"/>
    <w:rsid w:val="00627236"/>
    <w:rsid w:val="00633A39"/>
    <w:rsid w:val="00646A5F"/>
    <w:rsid w:val="006569F3"/>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23DB9"/>
    <w:rsid w:val="008509BB"/>
    <w:rsid w:val="00851D7F"/>
    <w:rsid w:val="008803C5"/>
    <w:rsid w:val="008E4866"/>
    <w:rsid w:val="009202AE"/>
    <w:rsid w:val="00942FB8"/>
    <w:rsid w:val="00960F5F"/>
    <w:rsid w:val="00967486"/>
    <w:rsid w:val="009D66C6"/>
    <w:rsid w:val="009E300C"/>
    <w:rsid w:val="009E5184"/>
    <w:rsid w:val="009E5ACB"/>
    <w:rsid w:val="009F1F5E"/>
    <w:rsid w:val="00A31E52"/>
    <w:rsid w:val="00A74A8A"/>
    <w:rsid w:val="00A85606"/>
    <w:rsid w:val="00A86C63"/>
    <w:rsid w:val="00A957A6"/>
    <w:rsid w:val="00A96525"/>
    <w:rsid w:val="00AA0D25"/>
    <w:rsid w:val="00AC012D"/>
    <w:rsid w:val="00AD4D77"/>
    <w:rsid w:val="00AE29E5"/>
    <w:rsid w:val="00AE5757"/>
    <w:rsid w:val="00AF2E15"/>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6497F"/>
    <w:rsid w:val="00D87E2B"/>
    <w:rsid w:val="00D9074D"/>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0B1F8E"/>
  <w15:chartTrackingRefBased/>
  <w15:docId w15:val="{6E556323-86AD-4472-91F5-A39D3E743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510B81"/>
    <w:pPr>
      <w:tabs>
        <w:tab w:val="left" w:pos="0"/>
      </w:tabs>
      <w:ind w:left="567" w:hanging="567"/>
    </w:pPr>
    <w:rPr>
      <w:b/>
      <w:sz w:val="22"/>
      <w:szCs w:val="22"/>
    </w:rPr>
  </w:style>
  <w:style w:type="paragraph" w:customStyle="1" w:styleId="Style5">
    <w:name w:val="Style5"/>
    <w:basedOn w:val="Normal"/>
    <w:qFormat/>
    <w:rsid w:val="00510B81"/>
    <w:pPr>
      <w:numPr>
        <w:ilvl w:val="12"/>
      </w:numPr>
    </w:pPr>
    <w:rPr>
      <w:sz w:val="22"/>
      <w:szCs w:val="22"/>
    </w:rPr>
  </w:style>
  <w:style w:type="table" w:styleId="Tabel-Gitter">
    <w:name w:val="Table Grid"/>
    <w:basedOn w:val="Tabel-Normal"/>
    <w:uiPriority w:val="59"/>
    <w:rsid w:val="00510B81"/>
    <w:rPr>
      <w:lang w:eastAsia="en-GB"/>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semiHidden/>
    <w:unhideWhenUsed/>
    <w:rsid w:val="00510B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6654179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69180359">
      <w:bodyDiv w:val="1"/>
      <w:marLeft w:val="0"/>
      <w:marRight w:val="0"/>
      <w:marTop w:val="0"/>
      <w:marBottom w:val="0"/>
      <w:divBdr>
        <w:top w:val="none" w:sz="0" w:space="0" w:color="auto"/>
        <w:left w:val="none" w:sz="0" w:space="0" w:color="auto"/>
        <w:bottom w:val="none" w:sz="0" w:space="0" w:color="auto"/>
        <w:right w:val="none" w:sz="0" w:space="0" w:color="auto"/>
      </w:divBdr>
    </w:div>
    <w:div w:id="172039331">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418721239">
      <w:bodyDiv w:val="1"/>
      <w:marLeft w:val="0"/>
      <w:marRight w:val="0"/>
      <w:marTop w:val="0"/>
      <w:marBottom w:val="0"/>
      <w:divBdr>
        <w:top w:val="none" w:sz="0" w:space="0" w:color="auto"/>
        <w:left w:val="none" w:sz="0" w:space="0" w:color="auto"/>
        <w:bottom w:val="none" w:sz="0" w:space="0" w:color="auto"/>
        <w:right w:val="none" w:sz="0" w:space="0" w:color="auto"/>
      </w:divBdr>
      <w:divsChild>
        <w:div w:id="1486630712">
          <w:marLeft w:val="0"/>
          <w:marRight w:val="0"/>
          <w:marTop w:val="0"/>
          <w:marBottom w:val="0"/>
          <w:divBdr>
            <w:top w:val="none" w:sz="0" w:space="0" w:color="auto"/>
            <w:left w:val="none" w:sz="0" w:space="0" w:color="auto"/>
            <w:bottom w:val="none" w:sz="0" w:space="0" w:color="auto"/>
            <w:right w:val="none" w:sz="0" w:space="0" w:color="auto"/>
          </w:divBdr>
          <w:divsChild>
            <w:div w:id="11633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6555">
      <w:bodyDiv w:val="1"/>
      <w:marLeft w:val="0"/>
      <w:marRight w:val="0"/>
      <w:marTop w:val="0"/>
      <w:marBottom w:val="0"/>
      <w:divBdr>
        <w:top w:val="none" w:sz="0" w:space="0" w:color="auto"/>
        <w:left w:val="none" w:sz="0" w:space="0" w:color="auto"/>
        <w:bottom w:val="none" w:sz="0" w:space="0" w:color="auto"/>
        <w:right w:val="none" w:sz="0" w:space="0" w:color="auto"/>
      </w:divBdr>
    </w:div>
    <w:div w:id="464322854">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6861423">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04867984">
      <w:bodyDiv w:val="1"/>
      <w:marLeft w:val="0"/>
      <w:marRight w:val="0"/>
      <w:marTop w:val="0"/>
      <w:marBottom w:val="0"/>
      <w:divBdr>
        <w:top w:val="none" w:sz="0" w:space="0" w:color="auto"/>
        <w:left w:val="none" w:sz="0" w:space="0" w:color="auto"/>
        <w:bottom w:val="none" w:sz="0" w:space="0" w:color="auto"/>
        <w:right w:val="none" w:sz="0" w:space="0" w:color="auto"/>
      </w:divBdr>
    </w:div>
    <w:div w:id="825321915">
      <w:bodyDiv w:val="1"/>
      <w:marLeft w:val="0"/>
      <w:marRight w:val="0"/>
      <w:marTop w:val="0"/>
      <w:marBottom w:val="0"/>
      <w:divBdr>
        <w:top w:val="none" w:sz="0" w:space="0" w:color="auto"/>
        <w:left w:val="none" w:sz="0" w:space="0" w:color="auto"/>
        <w:bottom w:val="none" w:sz="0" w:space="0" w:color="auto"/>
        <w:right w:val="none" w:sz="0" w:space="0" w:color="auto"/>
      </w:divBdr>
    </w:div>
    <w:div w:id="844638576">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016464139">
      <w:bodyDiv w:val="1"/>
      <w:marLeft w:val="0"/>
      <w:marRight w:val="0"/>
      <w:marTop w:val="0"/>
      <w:marBottom w:val="0"/>
      <w:divBdr>
        <w:top w:val="none" w:sz="0" w:space="0" w:color="auto"/>
        <w:left w:val="none" w:sz="0" w:space="0" w:color="auto"/>
        <w:bottom w:val="none" w:sz="0" w:space="0" w:color="auto"/>
        <w:right w:val="none" w:sz="0" w:space="0" w:color="auto"/>
      </w:divBdr>
    </w:div>
    <w:div w:id="1168323646">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87352774">
      <w:bodyDiv w:val="1"/>
      <w:marLeft w:val="0"/>
      <w:marRight w:val="0"/>
      <w:marTop w:val="0"/>
      <w:marBottom w:val="0"/>
      <w:divBdr>
        <w:top w:val="none" w:sz="0" w:space="0" w:color="auto"/>
        <w:left w:val="none" w:sz="0" w:space="0" w:color="auto"/>
        <w:bottom w:val="none" w:sz="0" w:space="0" w:color="auto"/>
        <w:right w:val="none" w:sz="0" w:space="0" w:color="auto"/>
      </w:divBdr>
    </w:div>
    <w:div w:id="1342470783">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97921207">
      <w:bodyDiv w:val="1"/>
      <w:marLeft w:val="0"/>
      <w:marRight w:val="0"/>
      <w:marTop w:val="0"/>
      <w:marBottom w:val="0"/>
      <w:divBdr>
        <w:top w:val="none" w:sz="0" w:space="0" w:color="auto"/>
        <w:left w:val="none" w:sz="0" w:space="0" w:color="auto"/>
        <w:bottom w:val="none" w:sz="0" w:space="0" w:color="auto"/>
        <w:right w:val="none" w:sz="0" w:space="0" w:color="auto"/>
      </w:divBdr>
    </w:div>
    <w:div w:id="1499803427">
      <w:bodyDiv w:val="1"/>
      <w:marLeft w:val="0"/>
      <w:marRight w:val="0"/>
      <w:marTop w:val="0"/>
      <w:marBottom w:val="0"/>
      <w:divBdr>
        <w:top w:val="none" w:sz="0" w:space="0" w:color="auto"/>
        <w:left w:val="none" w:sz="0" w:space="0" w:color="auto"/>
        <w:bottom w:val="none" w:sz="0" w:space="0" w:color="auto"/>
        <w:right w:val="none" w:sz="0" w:space="0" w:color="auto"/>
      </w:divBdr>
    </w:div>
    <w:div w:id="1578855012">
      <w:bodyDiv w:val="1"/>
      <w:marLeft w:val="0"/>
      <w:marRight w:val="0"/>
      <w:marTop w:val="0"/>
      <w:marBottom w:val="0"/>
      <w:divBdr>
        <w:top w:val="none" w:sz="0" w:space="0" w:color="auto"/>
        <w:left w:val="none" w:sz="0" w:space="0" w:color="auto"/>
        <w:bottom w:val="none" w:sz="0" w:space="0" w:color="auto"/>
        <w:right w:val="none" w:sz="0" w:space="0" w:color="auto"/>
      </w:divBdr>
    </w:div>
    <w:div w:id="1585844544">
      <w:bodyDiv w:val="1"/>
      <w:marLeft w:val="0"/>
      <w:marRight w:val="0"/>
      <w:marTop w:val="0"/>
      <w:marBottom w:val="0"/>
      <w:divBdr>
        <w:top w:val="none" w:sz="0" w:space="0" w:color="auto"/>
        <w:left w:val="none" w:sz="0" w:space="0" w:color="auto"/>
        <w:bottom w:val="none" w:sz="0" w:space="0" w:color="auto"/>
        <w:right w:val="none" w:sz="0" w:space="0" w:color="auto"/>
      </w:divBdr>
    </w:div>
    <w:div w:id="1613973802">
      <w:bodyDiv w:val="1"/>
      <w:marLeft w:val="0"/>
      <w:marRight w:val="0"/>
      <w:marTop w:val="0"/>
      <w:marBottom w:val="0"/>
      <w:divBdr>
        <w:top w:val="none" w:sz="0" w:space="0" w:color="auto"/>
        <w:left w:val="none" w:sz="0" w:space="0" w:color="auto"/>
        <w:bottom w:val="none" w:sz="0" w:space="0" w:color="auto"/>
        <w:right w:val="none" w:sz="0" w:space="0" w:color="auto"/>
      </w:divBdr>
    </w:div>
    <w:div w:id="1713310018">
      <w:bodyDiv w:val="1"/>
      <w:marLeft w:val="0"/>
      <w:marRight w:val="0"/>
      <w:marTop w:val="0"/>
      <w:marBottom w:val="0"/>
      <w:divBdr>
        <w:top w:val="none" w:sz="0" w:space="0" w:color="auto"/>
        <w:left w:val="none" w:sz="0" w:space="0" w:color="auto"/>
        <w:bottom w:val="none" w:sz="0" w:space="0" w:color="auto"/>
        <w:right w:val="none" w:sz="0" w:space="0" w:color="auto"/>
      </w:divBdr>
    </w:div>
    <w:div w:id="1743596676">
      <w:bodyDiv w:val="1"/>
      <w:marLeft w:val="0"/>
      <w:marRight w:val="0"/>
      <w:marTop w:val="0"/>
      <w:marBottom w:val="0"/>
      <w:divBdr>
        <w:top w:val="none" w:sz="0" w:space="0" w:color="auto"/>
        <w:left w:val="none" w:sz="0" w:space="0" w:color="auto"/>
        <w:bottom w:val="none" w:sz="0" w:space="0" w:color="auto"/>
        <w:right w:val="none" w:sz="0" w:space="0" w:color="auto"/>
      </w:divBdr>
    </w:div>
    <w:div w:id="1837381764">
      <w:bodyDiv w:val="1"/>
      <w:marLeft w:val="0"/>
      <w:marRight w:val="0"/>
      <w:marTop w:val="0"/>
      <w:marBottom w:val="0"/>
      <w:divBdr>
        <w:top w:val="none" w:sz="0" w:space="0" w:color="auto"/>
        <w:left w:val="none" w:sz="0" w:space="0" w:color="auto"/>
        <w:bottom w:val="none" w:sz="0" w:space="0" w:color="auto"/>
        <w:right w:val="none" w:sz="0" w:space="0" w:color="auto"/>
      </w:divBdr>
    </w:div>
    <w:div w:id="1852139762">
      <w:bodyDiv w:val="1"/>
      <w:marLeft w:val="0"/>
      <w:marRight w:val="0"/>
      <w:marTop w:val="0"/>
      <w:marBottom w:val="0"/>
      <w:divBdr>
        <w:top w:val="none" w:sz="0" w:space="0" w:color="auto"/>
        <w:left w:val="none" w:sz="0" w:space="0" w:color="auto"/>
        <w:bottom w:val="none" w:sz="0" w:space="0" w:color="auto"/>
        <w:right w:val="none" w:sz="0" w:space="0" w:color="auto"/>
      </w:divBdr>
    </w:div>
    <w:div w:id="1935741945">
      <w:bodyDiv w:val="1"/>
      <w:marLeft w:val="0"/>
      <w:marRight w:val="0"/>
      <w:marTop w:val="0"/>
      <w:marBottom w:val="0"/>
      <w:divBdr>
        <w:top w:val="none" w:sz="0" w:space="0" w:color="auto"/>
        <w:left w:val="none" w:sz="0" w:space="0" w:color="auto"/>
        <w:bottom w:val="none" w:sz="0" w:space="0" w:color="auto"/>
        <w:right w:val="none" w:sz="0" w:space="0" w:color="auto"/>
      </w:divBdr>
    </w:div>
    <w:div w:id="2113743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medicines.health.europa.eu/veterinar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32</TotalTime>
  <Pages>7</Pages>
  <Words>1839</Words>
  <Characters>12161</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2024042311, MT</dc:description>
  <cp:lastModifiedBy>Gitte Jørgensen</cp:lastModifiedBy>
  <cp:revision>8</cp:revision>
  <cp:lastPrinted>2022-05-18T14:03:00Z</cp:lastPrinted>
  <dcterms:created xsi:type="dcterms:W3CDTF">2025-04-03T11:05:00Z</dcterms:created>
  <dcterms:modified xsi:type="dcterms:W3CDTF">2025-04-04T11:30:00Z</dcterms:modified>
</cp:coreProperties>
</file>