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66795" w14:textId="77777777" w:rsidR="00246F75" w:rsidRPr="00406EE7" w:rsidRDefault="00246F75" w:rsidP="00246F75">
      <w:pPr>
        <w:tabs>
          <w:tab w:val="left" w:pos="6804"/>
        </w:tabs>
        <w:rPr>
          <w:b/>
          <w:sz w:val="24"/>
          <w:szCs w:val="24"/>
        </w:rPr>
      </w:pPr>
      <w:r>
        <w:rPr>
          <w:b/>
          <w:noProof/>
          <w:sz w:val="24"/>
          <w:szCs w:val="24"/>
          <w:lang w:eastAsia="da-DK"/>
        </w:rPr>
        <w:drawing>
          <wp:inline distT="0" distB="0" distL="0" distR="0" wp14:anchorId="098D03E8" wp14:editId="01DB7F1A">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14:paraId="4E409E10" w14:textId="7D0960F0" w:rsidR="00246F75" w:rsidRPr="00406EE7" w:rsidRDefault="00B837D8" w:rsidP="00246F75">
      <w:pPr>
        <w:tabs>
          <w:tab w:val="left" w:pos="6804"/>
        </w:tabs>
        <w:jc w:val="right"/>
        <w:rPr>
          <w:b/>
          <w:sz w:val="24"/>
          <w:szCs w:val="24"/>
        </w:rPr>
      </w:pPr>
      <w:r>
        <w:rPr>
          <w:b/>
          <w:sz w:val="24"/>
          <w:szCs w:val="24"/>
        </w:rPr>
        <w:t>9</w:t>
      </w:r>
      <w:r w:rsidR="00246F75">
        <w:rPr>
          <w:b/>
          <w:sz w:val="24"/>
          <w:szCs w:val="24"/>
        </w:rPr>
        <w:t xml:space="preserve">. </w:t>
      </w:r>
      <w:r w:rsidR="00A83AF7">
        <w:rPr>
          <w:b/>
          <w:sz w:val="24"/>
          <w:szCs w:val="24"/>
        </w:rPr>
        <w:t>a</w:t>
      </w:r>
      <w:r w:rsidR="0050748E">
        <w:rPr>
          <w:b/>
          <w:sz w:val="24"/>
          <w:szCs w:val="24"/>
        </w:rPr>
        <w:t>ugust</w:t>
      </w:r>
      <w:r w:rsidR="00246F75">
        <w:rPr>
          <w:b/>
          <w:sz w:val="24"/>
          <w:szCs w:val="24"/>
        </w:rPr>
        <w:t xml:space="preserve"> 20</w:t>
      </w:r>
      <w:r w:rsidR="00A83AF7">
        <w:rPr>
          <w:b/>
          <w:sz w:val="24"/>
          <w:szCs w:val="24"/>
        </w:rPr>
        <w:t>2</w:t>
      </w:r>
      <w:r w:rsidR="0050748E">
        <w:rPr>
          <w:b/>
          <w:sz w:val="24"/>
          <w:szCs w:val="24"/>
        </w:rPr>
        <w:t>4</w:t>
      </w:r>
    </w:p>
    <w:p w14:paraId="3B37E029" w14:textId="5A6BE0FC" w:rsidR="0050748E" w:rsidRDefault="0050748E" w:rsidP="00246F75">
      <w:pPr>
        <w:tabs>
          <w:tab w:val="left" w:pos="8222"/>
        </w:tabs>
        <w:rPr>
          <w:sz w:val="24"/>
          <w:szCs w:val="24"/>
        </w:rPr>
      </w:pPr>
    </w:p>
    <w:p w14:paraId="77A30EFE" w14:textId="77777777" w:rsidR="007B2723" w:rsidRPr="00406EE7" w:rsidRDefault="007B2723" w:rsidP="00246F75">
      <w:pPr>
        <w:tabs>
          <w:tab w:val="left" w:pos="8222"/>
        </w:tabs>
        <w:rPr>
          <w:sz w:val="24"/>
          <w:szCs w:val="24"/>
        </w:rPr>
      </w:pPr>
    </w:p>
    <w:p w14:paraId="699F463B" w14:textId="77777777" w:rsidR="00246F75" w:rsidRPr="00406EE7" w:rsidRDefault="00246F75" w:rsidP="00246F75">
      <w:pPr>
        <w:tabs>
          <w:tab w:val="left" w:pos="8222"/>
        </w:tabs>
        <w:jc w:val="center"/>
        <w:rPr>
          <w:b/>
          <w:sz w:val="24"/>
          <w:szCs w:val="24"/>
        </w:rPr>
      </w:pPr>
      <w:r w:rsidRPr="00406EE7">
        <w:rPr>
          <w:b/>
          <w:sz w:val="24"/>
          <w:szCs w:val="24"/>
        </w:rPr>
        <w:t>PRODUKTRESUMÉ</w:t>
      </w:r>
    </w:p>
    <w:p w14:paraId="1E562E43" w14:textId="77777777" w:rsidR="00246F75" w:rsidRPr="00406EE7" w:rsidRDefault="00246F75" w:rsidP="00246F75">
      <w:pPr>
        <w:tabs>
          <w:tab w:val="left" w:pos="8222"/>
        </w:tabs>
        <w:jc w:val="center"/>
        <w:rPr>
          <w:b/>
          <w:sz w:val="24"/>
          <w:szCs w:val="24"/>
        </w:rPr>
      </w:pPr>
    </w:p>
    <w:p w14:paraId="6B39783C" w14:textId="77777777" w:rsidR="00246F75" w:rsidRPr="00406EE7" w:rsidRDefault="00246F75" w:rsidP="00246F75">
      <w:pPr>
        <w:tabs>
          <w:tab w:val="left" w:pos="8222"/>
        </w:tabs>
        <w:jc w:val="center"/>
        <w:rPr>
          <w:b/>
          <w:sz w:val="24"/>
          <w:szCs w:val="24"/>
        </w:rPr>
      </w:pPr>
      <w:r w:rsidRPr="00406EE7">
        <w:rPr>
          <w:b/>
          <w:sz w:val="24"/>
          <w:szCs w:val="24"/>
        </w:rPr>
        <w:t>for</w:t>
      </w:r>
    </w:p>
    <w:p w14:paraId="16C682F8" w14:textId="77777777" w:rsidR="00246F75" w:rsidRPr="00406EE7" w:rsidRDefault="00246F75" w:rsidP="00246F75">
      <w:pPr>
        <w:tabs>
          <w:tab w:val="left" w:pos="8222"/>
        </w:tabs>
        <w:jc w:val="center"/>
        <w:rPr>
          <w:b/>
          <w:sz w:val="24"/>
          <w:szCs w:val="24"/>
        </w:rPr>
      </w:pPr>
    </w:p>
    <w:p w14:paraId="589B3098" w14:textId="43ADB489" w:rsidR="00246F75" w:rsidRPr="00406EE7" w:rsidRDefault="00246F75" w:rsidP="00246F75">
      <w:pPr>
        <w:tabs>
          <w:tab w:val="left" w:pos="8222"/>
        </w:tabs>
        <w:jc w:val="center"/>
        <w:rPr>
          <w:b/>
          <w:sz w:val="24"/>
          <w:szCs w:val="24"/>
        </w:rPr>
      </w:pPr>
      <w:proofErr w:type="spellStart"/>
      <w:r>
        <w:rPr>
          <w:b/>
          <w:sz w:val="24"/>
          <w:szCs w:val="24"/>
        </w:rPr>
        <w:t>Vetmedin</w:t>
      </w:r>
      <w:proofErr w:type="spellEnd"/>
      <w:r>
        <w:rPr>
          <w:b/>
          <w:sz w:val="24"/>
          <w:szCs w:val="24"/>
        </w:rPr>
        <w:t xml:space="preserve"> </w:t>
      </w:r>
      <w:proofErr w:type="spellStart"/>
      <w:r>
        <w:rPr>
          <w:b/>
          <w:sz w:val="24"/>
          <w:szCs w:val="24"/>
        </w:rPr>
        <w:t>Vet</w:t>
      </w:r>
      <w:proofErr w:type="spellEnd"/>
      <w:r>
        <w:rPr>
          <w:b/>
          <w:sz w:val="24"/>
          <w:szCs w:val="24"/>
        </w:rPr>
        <w:t>., tyggetabletter</w:t>
      </w:r>
    </w:p>
    <w:p w14:paraId="54A42284" w14:textId="77777777" w:rsidR="00246F75" w:rsidRPr="00406EE7" w:rsidRDefault="00246F75" w:rsidP="00246F75">
      <w:pPr>
        <w:tabs>
          <w:tab w:val="left" w:pos="8222"/>
        </w:tabs>
        <w:jc w:val="both"/>
        <w:rPr>
          <w:sz w:val="24"/>
          <w:szCs w:val="24"/>
        </w:rPr>
      </w:pPr>
    </w:p>
    <w:p w14:paraId="37CCFFFD" w14:textId="77777777" w:rsidR="00246F75" w:rsidRPr="00FD7776" w:rsidRDefault="00246F75" w:rsidP="00246F75">
      <w:pPr>
        <w:ind w:left="851" w:hanging="851"/>
        <w:jc w:val="both"/>
        <w:rPr>
          <w:sz w:val="24"/>
          <w:szCs w:val="24"/>
        </w:rPr>
      </w:pPr>
    </w:p>
    <w:p w14:paraId="4E85652D" w14:textId="77777777" w:rsidR="00246F75" w:rsidRPr="00FD7776" w:rsidRDefault="00246F75" w:rsidP="00246F75">
      <w:pPr>
        <w:ind w:left="851" w:hanging="851"/>
        <w:rPr>
          <w:b/>
          <w:sz w:val="24"/>
          <w:szCs w:val="24"/>
        </w:rPr>
      </w:pPr>
      <w:r w:rsidRPr="00FD7776">
        <w:rPr>
          <w:b/>
          <w:sz w:val="24"/>
          <w:szCs w:val="24"/>
        </w:rPr>
        <w:t>0.</w:t>
      </w:r>
      <w:r w:rsidRPr="00FD7776">
        <w:rPr>
          <w:b/>
          <w:sz w:val="24"/>
          <w:szCs w:val="24"/>
        </w:rPr>
        <w:tab/>
        <w:t>D.SP.NR.</w:t>
      </w:r>
    </w:p>
    <w:p w14:paraId="6E874823" w14:textId="77777777" w:rsidR="00246F75" w:rsidRPr="00FD7776" w:rsidRDefault="00246F75" w:rsidP="00246F75">
      <w:pPr>
        <w:ind w:left="851"/>
        <w:rPr>
          <w:sz w:val="24"/>
          <w:szCs w:val="24"/>
        </w:rPr>
      </w:pPr>
      <w:r w:rsidRPr="00FD7776">
        <w:rPr>
          <w:sz w:val="24"/>
          <w:szCs w:val="24"/>
        </w:rPr>
        <w:t>29527</w:t>
      </w:r>
    </w:p>
    <w:p w14:paraId="56E749EB" w14:textId="77777777" w:rsidR="00246F75" w:rsidRPr="00FD7776" w:rsidRDefault="00246F75" w:rsidP="00246F75">
      <w:pPr>
        <w:ind w:left="851" w:hanging="851"/>
        <w:rPr>
          <w:sz w:val="24"/>
          <w:szCs w:val="24"/>
        </w:rPr>
      </w:pPr>
    </w:p>
    <w:p w14:paraId="020BA919" w14:textId="77777777" w:rsidR="00246F75" w:rsidRPr="00FD7776" w:rsidRDefault="00246F75" w:rsidP="00246F75">
      <w:pPr>
        <w:ind w:left="851" w:hanging="851"/>
        <w:rPr>
          <w:b/>
          <w:sz w:val="24"/>
          <w:szCs w:val="24"/>
        </w:rPr>
      </w:pPr>
      <w:r w:rsidRPr="00FD7776">
        <w:rPr>
          <w:b/>
          <w:sz w:val="24"/>
          <w:szCs w:val="24"/>
        </w:rPr>
        <w:t>1.</w:t>
      </w:r>
      <w:r w:rsidRPr="00FD7776">
        <w:rPr>
          <w:b/>
          <w:sz w:val="24"/>
          <w:szCs w:val="24"/>
        </w:rPr>
        <w:tab/>
        <w:t>VETERINÆRLÆGEMIDLETS NAVN</w:t>
      </w:r>
    </w:p>
    <w:p w14:paraId="1462C6B4" w14:textId="77777777" w:rsidR="0050748E" w:rsidRPr="0050748E" w:rsidRDefault="0050748E" w:rsidP="0050748E">
      <w:pPr>
        <w:ind w:firstLine="851"/>
        <w:rPr>
          <w:lang w:val="sv-SE"/>
        </w:rPr>
      </w:pPr>
      <w:proofErr w:type="spellStart"/>
      <w:r w:rsidRPr="0050748E">
        <w:rPr>
          <w:lang w:val="sv-SE"/>
        </w:rPr>
        <w:t>Vetmedin</w:t>
      </w:r>
      <w:proofErr w:type="spellEnd"/>
      <w:r w:rsidRPr="0050748E">
        <w:rPr>
          <w:lang w:val="sv-SE"/>
        </w:rPr>
        <w:t xml:space="preserve"> vet. 1,25 mg </w:t>
      </w:r>
      <w:proofErr w:type="spellStart"/>
      <w:r w:rsidRPr="0050748E">
        <w:rPr>
          <w:lang w:val="sv-SE"/>
        </w:rPr>
        <w:t>tyggetabletter</w:t>
      </w:r>
      <w:proofErr w:type="spellEnd"/>
      <w:r w:rsidRPr="0050748E">
        <w:rPr>
          <w:lang w:val="sv-SE"/>
        </w:rPr>
        <w:t xml:space="preserve"> </w:t>
      </w:r>
    </w:p>
    <w:p w14:paraId="2C6D97B9" w14:textId="77777777" w:rsidR="0050748E" w:rsidRPr="0050748E" w:rsidRDefault="0050748E" w:rsidP="0050748E">
      <w:pPr>
        <w:ind w:firstLine="851"/>
        <w:rPr>
          <w:lang w:val="sv-SE"/>
        </w:rPr>
      </w:pPr>
      <w:proofErr w:type="spellStart"/>
      <w:r w:rsidRPr="0050748E">
        <w:rPr>
          <w:lang w:val="sv-SE"/>
        </w:rPr>
        <w:t>Vetmedin</w:t>
      </w:r>
      <w:proofErr w:type="spellEnd"/>
      <w:r w:rsidRPr="0050748E">
        <w:rPr>
          <w:lang w:val="sv-SE"/>
        </w:rPr>
        <w:t xml:space="preserve"> vet. 2,5 mg </w:t>
      </w:r>
      <w:proofErr w:type="spellStart"/>
      <w:r w:rsidRPr="0050748E">
        <w:rPr>
          <w:lang w:val="sv-SE"/>
        </w:rPr>
        <w:t>tyggetabletter</w:t>
      </w:r>
      <w:proofErr w:type="spellEnd"/>
      <w:r w:rsidRPr="0050748E">
        <w:rPr>
          <w:lang w:val="sv-SE"/>
        </w:rPr>
        <w:t xml:space="preserve"> </w:t>
      </w:r>
    </w:p>
    <w:p w14:paraId="036264C2" w14:textId="77777777" w:rsidR="0050748E" w:rsidRPr="0050748E" w:rsidRDefault="0050748E" w:rsidP="0050748E">
      <w:pPr>
        <w:ind w:firstLine="851"/>
        <w:rPr>
          <w:lang w:val="sv-SE"/>
        </w:rPr>
      </w:pPr>
      <w:proofErr w:type="spellStart"/>
      <w:r w:rsidRPr="0050748E">
        <w:rPr>
          <w:lang w:val="sv-SE"/>
        </w:rPr>
        <w:t>Vetmedin</w:t>
      </w:r>
      <w:proofErr w:type="spellEnd"/>
      <w:r w:rsidRPr="0050748E">
        <w:rPr>
          <w:lang w:val="sv-SE"/>
        </w:rPr>
        <w:t xml:space="preserve"> vet. 5 mg </w:t>
      </w:r>
      <w:proofErr w:type="spellStart"/>
      <w:r w:rsidRPr="0050748E">
        <w:rPr>
          <w:lang w:val="sv-SE"/>
        </w:rPr>
        <w:t>tyggetabletter</w:t>
      </w:r>
      <w:proofErr w:type="spellEnd"/>
      <w:r w:rsidRPr="0050748E">
        <w:rPr>
          <w:lang w:val="sv-SE"/>
        </w:rPr>
        <w:t xml:space="preserve"> </w:t>
      </w:r>
    </w:p>
    <w:p w14:paraId="70C02411" w14:textId="77777777" w:rsidR="0050748E" w:rsidRPr="0050748E" w:rsidRDefault="0050748E" w:rsidP="0050748E">
      <w:pPr>
        <w:ind w:firstLine="851"/>
        <w:rPr>
          <w:lang w:val="sv-SE"/>
        </w:rPr>
      </w:pPr>
      <w:proofErr w:type="spellStart"/>
      <w:r w:rsidRPr="0050748E">
        <w:rPr>
          <w:lang w:val="sv-SE"/>
        </w:rPr>
        <w:t>Vetmedin</w:t>
      </w:r>
      <w:proofErr w:type="spellEnd"/>
      <w:r w:rsidRPr="0050748E">
        <w:rPr>
          <w:lang w:val="sv-SE"/>
        </w:rPr>
        <w:t xml:space="preserve"> vet. 10 mg </w:t>
      </w:r>
      <w:proofErr w:type="spellStart"/>
      <w:r w:rsidRPr="0050748E">
        <w:rPr>
          <w:lang w:val="sv-SE"/>
        </w:rPr>
        <w:t>tyggetabletter</w:t>
      </w:r>
      <w:proofErr w:type="spellEnd"/>
      <w:r w:rsidRPr="0050748E">
        <w:rPr>
          <w:lang w:val="sv-SE"/>
        </w:rPr>
        <w:t xml:space="preserve"> </w:t>
      </w:r>
    </w:p>
    <w:p w14:paraId="163485DB" w14:textId="77777777" w:rsidR="00246F75" w:rsidRPr="0050748E" w:rsidRDefault="00246F75" w:rsidP="00246F75">
      <w:pPr>
        <w:ind w:left="851" w:hanging="851"/>
        <w:rPr>
          <w:sz w:val="24"/>
          <w:szCs w:val="24"/>
          <w:lang w:val="sv-SE"/>
        </w:rPr>
      </w:pPr>
    </w:p>
    <w:p w14:paraId="77FFE8C3" w14:textId="77777777" w:rsidR="00246F75" w:rsidRPr="00FD7776" w:rsidRDefault="00246F75" w:rsidP="00246F75">
      <w:pPr>
        <w:ind w:left="851" w:hanging="851"/>
        <w:rPr>
          <w:b/>
          <w:sz w:val="24"/>
          <w:szCs w:val="24"/>
        </w:rPr>
      </w:pPr>
      <w:r w:rsidRPr="00FD7776">
        <w:rPr>
          <w:b/>
          <w:sz w:val="24"/>
          <w:szCs w:val="24"/>
        </w:rPr>
        <w:t>2.</w:t>
      </w:r>
      <w:r w:rsidRPr="00FD7776">
        <w:rPr>
          <w:b/>
          <w:sz w:val="24"/>
          <w:szCs w:val="24"/>
        </w:rPr>
        <w:tab/>
        <w:t>KVALITATIV OG KVANTITATIV SAMMENSÆTNING</w:t>
      </w:r>
    </w:p>
    <w:p w14:paraId="2F91889C" w14:textId="77777777" w:rsidR="0050748E" w:rsidRPr="006128DB" w:rsidRDefault="0050748E" w:rsidP="0050748E">
      <w:pPr>
        <w:ind w:firstLine="851"/>
        <w:rPr>
          <w:bCs/>
          <w:szCs w:val="22"/>
        </w:rPr>
      </w:pPr>
      <w:r>
        <w:rPr>
          <w:bCs/>
          <w:szCs w:val="22"/>
        </w:rPr>
        <w:t>Hver</w:t>
      </w:r>
      <w:r w:rsidRPr="006128DB">
        <w:rPr>
          <w:bCs/>
          <w:szCs w:val="22"/>
        </w:rPr>
        <w:t xml:space="preserve"> tyggetablet indeholder:</w:t>
      </w:r>
    </w:p>
    <w:p w14:paraId="7D32A79A" w14:textId="77777777" w:rsidR="00246F75" w:rsidRPr="00FD7776" w:rsidRDefault="00246F75" w:rsidP="00246F75">
      <w:pPr>
        <w:ind w:left="851" w:hanging="851"/>
        <w:rPr>
          <w:bCs/>
          <w:sz w:val="24"/>
          <w:szCs w:val="24"/>
        </w:rPr>
      </w:pPr>
    </w:p>
    <w:p w14:paraId="1B54C478" w14:textId="77777777" w:rsidR="00246F75" w:rsidRPr="00FD7776" w:rsidRDefault="00246F75" w:rsidP="00246F75">
      <w:pPr>
        <w:ind w:left="851"/>
        <w:rPr>
          <w:sz w:val="24"/>
          <w:szCs w:val="24"/>
        </w:rPr>
      </w:pPr>
      <w:r w:rsidRPr="00FD7776">
        <w:rPr>
          <w:b/>
          <w:sz w:val="24"/>
          <w:szCs w:val="24"/>
        </w:rPr>
        <w:t>Aktivt stof:</w:t>
      </w:r>
    </w:p>
    <w:p w14:paraId="1E01FD72" w14:textId="77777777" w:rsidR="00246F75" w:rsidRPr="00C65851" w:rsidRDefault="00246F75" w:rsidP="00246F75">
      <w:pPr>
        <w:ind w:left="851"/>
        <w:rPr>
          <w:sz w:val="24"/>
          <w:szCs w:val="24"/>
          <w:lang w:val="sv-SE"/>
        </w:rPr>
      </w:pPr>
      <w:proofErr w:type="spellStart"/>
      <w:r w:rsidRPr="00C65851">
        <w:rPr>
          <w:sz w:val="24"/>
          <w:szCs w:val="24"/>
          <w:lang w:val="sv-SE"/>
        </w:rPr>
        <w:t>Pimobendan</w:t>
      </w:r>
      <w:proofErr w:type="spellEnd"/>
      <w:r w:rsidRPr="00C65851">
        <w:rPr>
          <w:sz w:val="24"/>
          <w:szCs w:val="24"/>
          <w:lang w:val="sv-SE"/>
        </w:rPr>
        <w:tab/>
        <w:t>1,25 mg</w:t>
      </w:r>
    </w:p>
    <w:p w14:paraId="4D64CDB0" w14:textId="77777777" w:rsidR="00246F75" w:rsidRPr="00C65851" w:rsidRDefault="00246F75" w:rsidP="00246F75">
      <w:pPr>
        <w:ind w:left="851"/>
        <w:rPr>
          <w:iCs/>
          <w:sz w:val="24"/>
          <w:szCs w:val="24"/>
          <w:lang w:val="sv-SE"/>
        </w:rPr>
      </w:pPr>
      <w:proofErr w:type="spellStart"/>
      <w:r w:rsidRPr="00C65851">
        <w:rPr>
          <w:sz w:val="24"/>
          <w:szCs w:val="24"/>
          <w:lang w:val="sv-SE"/>
        </w:rPr>
        <w:t>Pimobendan</w:t>
      </w:r>
      <w:proofErr w:type="spellEnd"/>
      <w:r w:rsidRPr="00C65851">
        <w:rPr>
          <w:sz w:val="24"/>
          <w:szCs w:val="24"/>
          <w:lang w:val="sv-SE"/>
        </w:rPr>
        <w:tab/>
        <w:t>2,5 mg</w:t>
      </w:r>
    </w:p>
    <w:p w14:paraId="2F33B985" w14:textId="77777777" w:rsidR="00246F75" w:rsidRPr="00C65851" w:rsidRDefault="00246F75" w:rsidP="00246F75">
      <w:pPr>
        <w:ind w:left="851"/>
        <w:rPr>
          <w:iCs/>
          <w:sz w:val="24"/>
          <w:szCs w:val="24"/>
          <w:lang w:val="sv-SE"/>
        </w:rPr>
      </w:pPr>
      <w:proofErr w:type="spellStart"/>
      <w:r w:rsidRPr="00C65851">
        <w:rPr>
          <w:iCs/>
          <w:sz w:val="24"/>
          <w:szCs w:val="24"/>
          <w:lang w:val="sv-SE"/>
        </w:rPr>
        <w:t>Pimobendan</w:t>
      </w:r>
      <w:proofErr w:type="spellEnd"/>
      <w:r w:rsidRPr="00C65851">
        <w:rPr>
          <w:iCs/>
          <w:sz w:val="24"/>
          <w:szCs w:val="24"/>
          <w:lang w:val="sv-SE"/>
        </w:rPr>
        <w:tab/>
        <w:t>5 mg</w:t>
      </w:r>
    </w:p>
    <w:p w14:paraId="6E610253" w14:textId="77777777" w:rsidR="00246F75" w:rsidRPr="00FD7776" w:rsidRDefault="00246F75" w:rsidP="00246F75">
      <w:pPr>
        <w:ind w:left="851"/>
        <w:rPr>
          <w:iCs/>
          <w:sz w:val="24"/>
          <w:szCs w:val="24"/>
        </w:rPr>
      </w:pPr>
      <w:proofErr w:type="spellStart"/>
      <w:r w:rsidRPr="00FD7776">
        <w:rPr>
          <w:iCs/>
          <w:sz w:val="24"/>
          <w:szCs w:val="24"/>
        </w:rPr>
        <w:t>Pimobendan</w:t>
      </w:r>
      <w:proofErr w:type="spellEnd"/>
      <w:r w:rsidRPr="00FD7776">
        <w:rPr>
          <w:iCs/>
          <w:sz w:val="24"/>
          <w:szCs w:val="24"/>
        </w:rPr>
        <w:tab/>
        <w:t>10 mg</w:t>
      </w:r>
    </w:p>
    <w:p w14:paraId="1AA31048" w14:textId="77777777" w:rsidR="00246F75" w:rsidRPr="00FD7776" w:rsidRDefault="00246F75" w:rsidP="00246F75">
      <w:pPr>
        <w:ind w:left="851" w:hanging="851"/>
        <w:rPr>
          <w:sz w:val="24"/>
          <w:szCs w:val="24"/>
        </w:rPr>
      </w:pPr>
    </w:p>
    <w:p w14:paraId="7CB463CF" w14:textId="77777777" w:rsidR="00246F75" w:rsidRPr="00FD7776" w:rsidRDefault="00246F75" w:rsidP="00246F75">
      <w:pPr>
        <w:ind w:left="851"/>
        <w:rPr>
          <w:b/>
          <w:sz w:val="24"/>
          <w:szCs w:val="24"/>
        </w:rPr>
      </w:pPr>
      <w:r w:rsidRPr="00FD7776">
        <w:rPr>
          <w:b/>
          <w:sz w:val="24"/>
          <w:szCs w:val="24"/>
        </w:rPr>
        <w:t>Hjælpestoffer:</w:t>
      </w:r>
    </w:p>
    <w:p w14:paraId="2F65EB3F" w14:textId="77777777" w:rsidR="0050748E" w:rsidRPr="00F260F0" w:rsidRDefault="0050748E" w:rsidP="0050748E">
      <w:pPr>
        <w:rPr>
          <w:szCs w:val="22"/>
        </w:rPr>
      </w:pPr>
    </w:p>
    <w:tbl>
      <w:tblPr>
        <w:tblW w:w="850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0748E" w14:paraId="0721CB87" w14:textId="77777777" w:rsidTr="0050748E">
        <w:tc>
          <w:tcPr>
            <w:tcW w:w="8505" w:type="dxa"/>
            <w:shd w:val="clear" w:color="auto" w:fill="auto"/>
            <w:vAlign w:val="center"/>
          </w:tcPr>
          <w:p w14:paraId="73FE8ADA" w14:textId="77777777" w:rsidR="0050748E" w:rsidRPr="00F260F0" w:rsidRDefault="0050748E" w:rsidP="00AD46D7">
            <w:pPr>
              <w:spacing w:before="60" w:after="60"/>
              <w:rPr>
                <w:b/>
                <w:bCs/>
                <w:iCs/>
                <w:szCs w:val="22"/>
              </w:rPr>
            </w:pPr>
            <w:r w:rsidRPr="00F260F0">
              <w:rPr>
                <w:b/>
                <w:bCs/>
                <w:iCs/>
                <w:szCs w:val="22"/>
              </w:rPr>
              <w:t>Kvalitativ sammensætning af hjælpestoffer og andre bestanddele</w:t>
            </w:r>
          </w:p>
        </w:tc>
      </w:tr>
      <w:tr w:rsidR="0050748E" w14:paraId="5C42886F" w14:textId="77777777" w:rsidTr="0050748E">
        <w:tc>
          <w:tcPr>
            <w:tcW w:w="8505" w:type="dxa"/>
            <w:shd w:val="clear" w:color="auto" w:fill="auto"/>
            <w:vAlign w:val="center"/>
          </w:tcPr>
          <w:p w14:paraId="3689B71C" w14:textId="77777777" w:rsidR="0050748E" w:rsidRPr="006128DB" w:rsidRDefault="0050748E" w:rsidP="00AD46D7">
            <w:pPr>
              <w:spacing w:before="60" w:after="60"/>
              <w:ind w:left="567" w:hanging="567"/>
              <w:rPr>
                <w:i/>
                <w:szCs w:val="22"/>
              </w:rPr>
            </w:pPr>
            <w:proofErr w:type="spellStart"/>
            <w:r w:rsidRPr="006128DB">
              <w:rPr>
                <w:i/>
                <w:szCs w:val="22"/>
              </w:rPr>
              <w:t>Lactosemonohydrat</w:t>
            </w:r>
            <w:proofErr w:type="spellEnd"/>
          </w:p>
        </w:tc>
      </w:tr>
      <w:tr w:rsidR="0050748E" w14:paraId="5D34A127" w14:textId="77777777" w:rsidTr="0050748E">
        <w:tc>
          <w:tcPr>
            <w:tcW w:w="8505" w:type="dxa"/>
            <w:shd w:val="clear" w:color="auto" w:fill="auto"/>
            <w:vAlign w:val="center"/>
          </w:tcPr>
          <w:p w14:paraId="7F78ED4D" w14:textId="77777777" w:rsidR="0050748E" w:rsidRPr="006128DB" w:rsidRDefault="0050748E" w:rsidP="00AD46D7">
            <w:pPr>
              <w:spacing w:before="60" w:after="60"/>
              <w:ind w:left="567" w:hanging="567"/>
              <w:rPr>
                <w:i/>
                <w:szCs w:val="22"/>
              </w:rPr>
            </w:pPr>
            <w:r w:rsidRPr="006128DB">
              <w:rPr>
                <w:i/>
                <w:szCs w:val="22"/>
              </w:rPr>
              <w:t>Mikrokrystallinsk cellulose</w:t>
            </w:r>
          </w:p>
        </w:tc>
      </w:tr>
      <w:tr w:rsidR="0050748E" w14:paraId="5EC6B928" w14:textId="77777777" w:rsidTr="0050748E">
        <w:tc>
          <w:tcPr>
            <w:tcW w:w="8505" w:type="dxa"/>
            <w:shd w:val="clear" w:color="auto" w:fill="auto"/>
            <w:vAlign w:val="center"/>
          </w:tcPr>
          <w:p w14:paraId="47172A83" w14:textId="77777777" w:rsidR="0050748E" w:rsidRPr="006128DB" w:rsidRDefault="0050748E" w:rsidP="00AD46D7">
            <w:pPr>
              <w:spacing w:before="60" w:after="60"/>
              <w:ind w:left="567" w:hanging="567"/>
              <w:rPr>
                <w:i/>
                <w:szCs w:val="22"/>
              </w:rPr>
            </w:pPr>
            <w:r w:rsidRPr="006128DB">
              <w:rPr>
                <w:i/>
                <w:szCs w:val="22"/>
              </w:rPr>
              <w:t xml:space="preserve">Stivelse, </w:t>
            </w:r>
            <w:proofErr w:type="spellStart"/>
            <w:r w:rsidRPr="006128DB">
              <w:rPr>
                <w:i/>
                <w:szCs w:val="22"/>
              </w:rPr>
              <w:t>pregelatineret</w:t>
            </w:r>
            <w:proofErr w:type="spellEnd"/>
          </w:p>
        </w:tc>
      </w:tr>
      <w:tr w:rsidR="0050748E" w14:paraId="671DEA79" w14:textId="77777777" w:rsidTr="0050748E">
        <w:tc>
          <w:tcPr>
            <w:tcW w:w="8505" w:type="dxa"/>
            <w:shd w:val="clear" w:color="auto" w:fill="auto"/>
            <w:vAlign w:val="center"/>
          </w:tcPr>
          <w:p w14:paraId="08BA1E02" w14:textId="77777777" w:rsidR="0050748E" w:rsidRPr="006128DB" w:rsidRDefault="0050748E" w:rsidP="00AD46D7">
            <w:pPr>
              <w:spacing w:before="60" w:after="60"/>
              <w:ind w:left="567" w:hanging="567"/>
              <w:rPr>
                <w:i/>
                <w:szCs w:val="22"/>
              </w:rPr>
            </w:pPr>
            <w:proofErr w:type="spellStart"/>
            <w:r w:rsidRPr="006128DB">
              <w:rPr>
                <w:i/>
                <w:szCs w:val="22"/>
              </w:rPr>
              <w:t>Natriumstivelsesglycolat</w:t>
            </w:r>
            <w:proofErr w:type="spellEnd"/>
            <w:r w:rsidRPr="006128DB">
              <w:rPr>
                <w:i/>
                <w:szCs w:val="22"/>
              </w:rPr>
              <w:t xml:space="preserve"> (type A)</w:t>
            </w:r>
          </w:p>
        </w:tc>
      </w:tr>
      <w:tr w:rsidR="0050748E" w14:paraId="31BC4379" w14:textId="77777777" w:rsidTr="0050748E">
        <w:tc>
          <w:tcPr>
            <w:tcW w:w="8505" w:type="dxa"/>
            <w:shd w:val="clear" w:color="auto" w:fill="auto"/>
            <w:vAlign w:val="center"/>
          </w:tcPr>
          <w:p w14:paraId="01B90332" w14:textId="77777777" w:rsidR="0050748E" w:rsidRPr="006128DB" w:rsidRDefault="0050748E" w:rsidP="00AD46D7">
            <w:pPr>
              <w:spacing w:before="60" w:after="60"/>
              <w:ind w:left="567" w:hanging="567"/>
              <w:rPr>
                <w:i/>
                <w:szCs w:val="22"/>
              </w:rPr>
            </w:pPr>
            <w:proofErr w:type="spellStart"/>
            <w:r w:rsidRPr="006128DB">
              <w:rPr>
                <w:i/>
                <w:szCs w:val="22"/>
              </w:rPr>
              <w:t>Macrogol</w:t>
            </w:r>
            <w:proofErr w:type="spellEnd"/>
            <w:r w:rsidRPr="006128DB">
              <w:rPr>
                <w:i/>
                <w:szCs w:val="22"/>
              </w:rPr>
              <w:t xml:space="preserve"> 6000</w:t>
            </w:r>
          </w:p>
        </w:tc>
      </w:tr>
      <w:tr w:rsidR="0050748E" w14:paraId="11AC3631" w14:textId="77777777" w:rsidTr="0050748E">
        <w:tc>
          <w:tcPr>
            <w:tcW w:w="8505" w:type="dxa"/>
            <w:shd w:val="clear" w:color="auto" w:fill="auto"/>
            <w:vAlign w:val="center"/>
          </w:tcPr>
          <w:p w14:paraId="1E75362E" w14:textId="77777777" w:rsidR="0050748E" w:rsidRPr="006128DB" w:rsidRDefault="0050748E" w:rsidP="00AD46D7">
            <w:pPr>
              <w:spacing w:before="60" w:after="60"/>
              <w:ind w:left="567" w:hanging="567"/>
              <w:rPr>
                <w:i/>
                <w:szCs w:val="22"/>
              </w:rPr>
            </w:pPr>
            <w:proofErr w:type="spellStart"/>
            <w:r w:rsidRPr="006128DB">
              <w:rPr>
                <w:i/>
                <w:szCs w:val="22"/>
              </w:rPr>
              <w:t>Stearoylmacrogolglycerider</w:t>
            </w:r>
            <w:proofErr w:type="spellEnd"/>
          </w:p>
        </w:tc>
      </w:tr>
      <w:tr w:rsidR="0050748E" w14:paraId="37DC8890" w14:textId="77777777" w:rsidTr="0050748E">
        <w:tc>
          <w:tcPr>
            <w:tcW w:w="8505" w:type="dxa"/>
            <w:shd w:val="clear" w:color="auto" w:fill="auto"/>
            <w:vAlign w:val="center"/>
          </w:tcPr>
          <w:p w14:paraId="16A7A11D" w14:textId="77777777" w:rsidR="0050748E" w:rsidRPr="006128DB" w:rsidRDefault="0050748E" w:rsidP="00AD46D7">
            <w:pPr>
              <w:spacing w:before="60" w:after="60"/>
              <w:rPr>
                <w:i/>
                <w:szCs w:val="22"/>
              </w:rPr>
            </w:pPr>
            <w:r w:rsidRPr="006128DB">
              <w:rPr>
                <w:i/>
                <w:szCs w:val="22"/>
              </w:rPr>
              <w:t>Gær, tørret</w:t>
            </w:r>
          </w:p>
        </w:tc>
      </w:tr>
      <w:tr w:rsidR="0050748E" w14:paraId="35B9DBE3" w14:textId="77777777" w:rsidTr="0050748E">
        <w:tc>
          <w:tcPr>
            <w:tcW w:w="8505" w:type="dxa"/>
            <w:shd w:val="clear" w:color="auto" w:fill="auto"/>
            <w:vAlign w:val="center"/>
          </w:tcPr>
          <w:p w14:paraId="226FCA8A" w14:textId="77777777" w:rsidR="0050748E" w:rsidRPr="006128DB" w:rsidRDefault="0050748E" w:rsidP="00AD46D7">
            <w:pPr>
              <w:spacing w:before="60" w:after="60"/>
              <w:rPr>
                <w:i/>
                <w:szCs w:val="22"/>
              </w:rPr>
            </w:pPr>
            <w:r w:rsidRPr="006128DB">
              <w:rPr>
                <w:i/>
                <w:szCs w:val="22"/>
              </w:rPr>
              <w:t>Leverpulver smag</w:t>
            </w:r>
          </w:p>
        </w:tc>
      </w:tr>
      <w:tr w:rsidR="0050748E" w14:paraId="389B52EF" w14:textId="77777777" w:rsidTr="0050748E">
        <w:tc>
          <w:tcPr>
            <w:tcW w:w="8505" w:type="dxa"/>
            <w:shd w:val="clear" w:color="auto" w:fill="auto"/>
            <w:vAlign w:val="center"/>
          </w:tcPr>
          <w:p w14:paraId="36355F71" w14:textId="77777777" w:rsidR="0050748E" w:rsidRPr="006128DB" w:rsidRDefault="0050748E" w:rsidP="00AD46D7">
            <w:pPr>
              <w:spacing w:before="60" w:after="60"/>
              <w:ind w:left="567" w:hanging="567"/>
              <w:rPr>
                <w:i/>
                <w:szCs w:val="22"/>
              </w:rPr>
            </w:pPr>
            <w:proofErr w:type="spellStart"/>
            <w:r w:rsidRPr="006128DB">
              <w:rPr>
                <w:i/>
                <w:szCs w:val="22"/>
              </w:rPr>
              <w:t>Talcum</w:t>
            </w:r>
            <w:proofErr w:type="spellEnd"/>
          </w:p>
        </w:tc>
      </w:tr>
      <w:tr w:rsidR="0050748E" w14:paraId="7FC1589C" w14:textId="77777777" w:rsidTr="0050748E">
        <w:tc>
          <w:tcPr>
            <w:tcW w:w="8505" w:type="dxa"/>
            <w:shd w:val="clear" w:color="auto" w:fill="auto"/>
            <w:vAlign w:val="center"/>
          </w:tcPr>
          <w:p w14:paraId="39C96F58" w14:textId="77777777" w:rsidR="0050748E" w:rsidRPr="006128DB" w:rsidRDefault="0050748E" w:rsidP="00AD46D7">
            <w:pPr>
              <w:spacing w:before="60" w:after="60"/>
              <w:rPr>
                <w:i/>
                <w:szCs w:val="22"/>
              </w:rPr>
            </w:pPr>
            <w:proofErr w:type="spellStart"/>
            <w:r w:rsidRPr="006128DB">
              <w:rPr>
                <w:i/>
                <w:szCs w:val="22"/>
              </w:rPr>
              <w:t>Magnesiumstearat</w:t>
            </w:r>
            <w:proofErr w:type="spellEnd"/>
          </w:p>
        </w:tc>
      </w:tr>
    </w:tbl>
    <w:p w14:paraId="37714A1D" w14:textId="77777777" w:rsidR="0050748E" w:rsidRDefault="0050748E" w:rsidP="0050748E">
      <w:pPr>
        <w:rPr>
          <w:szCs w:val="22"/>
        </w:rPr>
      </w:pPr>
    </w:p>
    <w:p w14:paraId="103514AD" w14:textId="77777777" w:rsidR="00A54217" w:rsidRPr="006128DB" w:rsidRDefault="00A54217" w:rsidP="00A54217">
      <w:pPr>
        <w:ind w:firstLine="851"/>
        <w:rPr>
          <w:szCs w:val="22"/>
        </w:rPr>
      </w:pPr>
      <w:r w:rsidRPr="006128DB">
        <w:rPr>
          <w:szCs w:val="22"/>
        </w:rPr>
        <w:lastRenderedPageBreak/>
        <w:t>Brunlig, oval, delelig tablet med delekærv på begge sider.</w:t>
      </w:r>
    </w:p>
    <w:p w14:paraId="5F66F807" w14:textId="77777777" w:rsidR="00A54217" w:rsidRPr="00F260F0" w:rsidRDefault="00A54217" w:rsidP="00A54217">
      <w:pPr>
        <w:ind w:firstLine="851"/>
        <w:rPr>
          <w:szCs w:val="22"/>
        </w:rPr>
      </w:pPr>
      <w:r w:rsidRPr="006128DB">
        <w:rPr>
          <w:szCs w:val="22"/>
        </w:rPr>
        <w:t>T</w:t>
      </w:r>
      <w:r>
        <w:rPr>
          <w:szCs w:val="22"/>
        </w:rPr>
        <w:t>ygget</w:t>
      </w:r>
      <w:r w:rsidRPr="006128DB">
        <w:rPr>
          <w:szCs w:val="22"/>
        </w:rPr>
        <w:t>abletten kan deles i to lige store halvdele.</w:t>
      </w:r>
    </w:p>
    <w:p w14:paraId="0C4613D1" w14:textId="77777777" w:rsidR="00A54217" w:rsidRDefault="00A54217" w:rsidP="00A54217">
      <w:pPr>
        <w:rPr>
          <w:szCs w:val="22"/>
        </w:rPr>
      </w:pPr>
    </w:p>
    <w:p w14:paraId="7772E248" w14:textId="77777777" w:rsidR="00A54217" w:rsidRPr="00F260F0" w:rsidRDefault="00A54217" w:rsidP="00A54217">
      <w:pPr>
        <w:rPr>
          <w:szCs w:val="22"/>
        </w:rPr>
      </w:pPr>
    </w:p>
    <w:p w14:paraId="0D5FEE8D" w14:textId="77777777" w:rsidR="00A54217" w:rsidRPr="00F260F0" w:rsidRDefault="00A54217" w:rsidP="00A54217">
      <w:pPr>
        <w:pStyle w:val="Style1"/>
        <w:ind w:left="851" w:hanging="851"/>
      </w:pPr>
      <w:bookmarkStart w:id="0" w:name="_Hlk144203978"/>
      <w:r w:rsidRPr="00F260F0">
        <w:t>3.</w:t>
      </w:r>
      <w:r w:rsidRPr="00F260F0">
        <w:tab/>
        <w:t>KLINISKE OPLYSNINGER</w:t>
      </w:r>
    </w:p>
    <w:p w14:paraId="344F5D95" w14:textId="77777777" w:rsidR="00A54217" w:rsidRPr="00F260F0" w:rsidRDefault="00A54217" w:rsidP="00A54217">
      <w:pPr>
        <w:rPr>
          <w:szCs w:val="22"/>
        </w:rPr>
      </w:pPr>
    </w:p>
    <w:p w14:paraId="63C5E61B" w14:textId="59149C06" w:rsidR="00A54217" w:rsidRPr="00F260F0" w:rsidRDefault="00A54217" w:rsidP="005555B1">
      <w:pPr>
        <w:pStyle w:val="Style1"/>
        <w:ind w:left="851" w:hanging="851"/>
      </w:pPr>
      <w:r w:rsidRPr="00F260F0">
        <w:t>3.1</w:t>
      </w:r>
      <w:r w:rsidRPr="00F260F0">
        <w:tab/>
        <w:t>Dyrearter, som lægemidlet er beregnet til</w:t>
      </w:r>
    </w:p>
    <w:p w14:paraId="3A1996DD" w14:textId="77777777" w:rsidR="00A54217" w:rsidRDefault="00A54217" w:rsidP="00A54217">
      <w:pPr>
        <w:rPr>
          <w:szCs w:val="22"/>
        </w:rPr>
      </w:pPr>
    </w:p>
    <w:p w14:paraId="02BD7C33" w14:textId="77777777" w:rsidR="00A54217" w:rsidRPr="002E3F35" w:rsidRDefault="00A54217" w:rsidP="00A54217">
      <w:pPr>
        <w:ind w:firstLine="851"/>
        <w:rPr>
          <w:szCs w:val="22"/>
        </w:rPr>
      </w:pPr>
      <w:r w:rsidRPr="002E3F35">
        <w:rPr>
          <w:szCs w:val="22"/>
        </w:rPr>
        <w:t>Hund</w:t>
      </w:r>
      <w:r>
        <w:rPr>
          <w:szCs w:val="22"/>
        </w:rPr>
        <w:t>.</w:t>
      </w:r>
    </w:p>
    <w:p w14:paraId="3A5250D2" w14:textId="77777777" w:rsidR="00A54217" w:rsidRPr="00F260F0" w:rsidRDefault="00A54217" w:rsidP="00A54217">
      <w:pPr>
        <w:rPr>
          <w:szCs w:val="22"/>
        </w:rPr>
      </w:pPr>
    </w:p>
    <w:p w14:paraId="02F36D26" w14:textId="77777777" w:rsidR="00A54217" w:rsidRPr="00F260F0" w:rsidRDefault="00A54217" w:rsidP="00A54217">
      <w:pPr>
        <w:pStyle w:val="Style1"/>
        <w:ind w:left="851" w:hanging="851"/>
      </w:pPr>
      <w:r w:rsidRPr="00F260F0">
        <w:t>3.2</w:t>
      </w:r>
      <w:r w:rsidRPr="00F260F0">
        <w:tab/>
        <w:t>Terapeutiske indikationer for hver dyreart, som lægemidlet er beregnet til</w:t>
      </w:r>
    </w:p>
    <w:p w14:paraId="4FAF01A7" w14:textId="77777777" w:rsidR="00A54217" w:rsidRPr="00F260F0" w:rsidRDefault="00A54217" w:rsidP="00A54217">
      <w:pPr>
        <w:rPr>
          <w:szCs w:val="22"/>
        </w:rPr>
      </w:pPr>
    </w:p>
    <w:p w14:paraId="07DF3C04" w14:textId="56DE3160" w:rsidR="00A54217" w:rsidRPr="00AA256D" w:rsidRDefault="00A54217" w:rsidP="00A54217">
      <w:pPr>
        <w:ind w:left="851"/>
        <w:rPr>
          <w:szCs w:val="22"/>
        </w:rPr>
      </w:pPr>
      <w:r w:rsidRPr="00AA256D">
        <w:rPr>
          <w:szCs w:val="22"/>
        </w:rPr>
        <w:t xml:space="preserve">Behandling af kongestiv </w:t>
      </w:r>
      <w:bookmarkStart w:id="1" w:name="_Hlk173748744"/>
      <w:r w:rsidR="0011201F" w:rsidRPr="00AA256D">
        <w:rPr>
          <w:szCs w:val="22"/>
        </w:rPr>
        <w:t>hjerte</w:t>
      </w:r>
      <w:r w:rsidR="0011201F">
        <w:rPr>
          <w:szCs w:val="22"/>
        </w:rPr>
        <w:t>insufficiens</w:t>
      </w:r>
      <w:bookmarkEnd w:id="1"/>
      <w:r w:rsidR="0011201F" w:rsidRPr="00AA256D">
        <w:rPr>
          <w:szCs w:val="22"/>
        </w:rPr>
        <w:t xml:space="preserve"> </w:t>
      </w:r>
      <w:r>
        <w:rPr>
          <w:szCs w:val="22"/>
        </w:rPr>
        <w:t>hos hund forårsaget af</w:t>
      </w:r>
      <w:r w:rsidRPr="00AA256D">
        <w:rPr>
          <w:szCs w:val="22"/>
        </w:rPr>
        <w:t xml:space="preserve"> </w:t>
      </w:r>
      <w:proofErr w:type="spellStart"/>
      <w:r w:rsidRPr="00AA256D">
        <w:rPr>
          <w:szCs w:val="22"/>
        </w:rPr>
        <w:t>dilateret</w:t>
      </w:r>
      <w:proofErr w:type="spellEnd"/>
      <w:r w:rsidRPr="00AA256D">
        <w:rPr>
          <w:szCs w:val="22"/>
        </w:rPr>
        <w:t xml:space="preserve"> </w:t>
      </w:r>
      <w:proofErr w:type="spellStart"/>
      <w:r w:rsidRPr="00AA256D">
        <w:rPr>
          <w:szCs w:val="22"/>
        </w:rPr>
        <w:t>kardiomyopati</w:t>
      </w:r>
      <w:proofErr w:type="spellEnd"/>
      <w:r w:rsidRPr="00AA256D">
        <w:rPr>
          <w:szCs w:val="22"/>
        </w:rPr>
        <w:t xml:space="preserve"> </w:t>
      </w:r>
      <w:r>
        <w:rPr>
          <w:szCs w:val="22"/>
        </w:rPr>
        <w:t xml:space="preserve">(DCM) </w:t>
      </w:r>
      <w:r w:rsidRPr="00AA256D">
        <w:rPr>
          <w:szCs w:val="22"/>
        </w:rPr>
        <w:t xml:space="preserve">eller </w:t>
      </w:r>
      <w:proofErr w:type="spellStart"/>
      <w:r w:rsidRPr="00AA256D">
        <w:rPr>
          <w:szCs w:val="22"/>
        </w:rPr>
        <w:t>valvulær</w:t>
      </w:r>
      <w:proofErr w:type="spellEnd"/>
      <w:r w:rsidRPr="00AA256D">
        <w:rPr>
          <w:szCs w:val="22"/>
        </w:rPr>
        <w:t xml:space="preserve"> insufficiens (</w:t>
      </w:r>
      <w:proofErr w:type="spellStart"/>
      <w:r w:rsidRPr="00AA256D">
        <w:rPr>
          <w:szCs w:val="22"/>
        </w:rPr>
        <w:t>mitral</w:t>
      </w:r>
      <w:proofErr w:type="spellEnd"/>
      <w:r w:rsidRPr="00AA256D">
        <w:rPr>
          <w:szCs w:val="22"/>
        </w:rPr>
        <w:t xml:space="preserve"> og/eller </w:t>
      </w:r>
      <w:proofErr w:type="spellStart"/>
      <w:r w:rsidRPr="00AA256D">
        <w:rPr>
          <w:szCs w:val="22"/>
        </w:rPr>
        <w:t>tri</w:t>
      </w:r>
      <w:r>
        <w:rPr>
          <w:szCs w:val="22"/>
        </w:rPr>
        <w:t>k</w:t>
      </w:r>
      <w:r w:rsidRPr="00AA256D">
        <w:rPr>
          <w:szCs w:val="22"/>
        </w:rPr>
        <w:t>uspidal</w:t>
      </w:r>
      <w:proofErr w:type="spellEnd"/>
      <w:r w:rsidRPr="00AA256D">
        <w:rPr>
          <w:szCs w:val="22"/>
        </w:rPr>
        <w:t xml:space="preserve"> </w:t>
      </w:r>
      <w:proofErr w:type="spellStart"/>
      <w:r>
        <w:rPr>
          <w:szCs w:val="22"/>
        </w:rPr>
        <w:t>regurgitation</w:t>
      </w:r>
      <w:proofErr w:type="spellEnd"/>
      <w:r w:rsidRPr="00AA256D">
        <w:rPr>
          <w:szCs w:val="22"/>
        </w:rPr>
        <w:t xml:space="preserve">). </w:t>
      </w:r>
    </w:p>
    <w:p w14:paraId="1A0E0F7E" w14:textId="77777777" w:rsidR="00A54217" w:rsidRDefault="00A54217" w:rsidP="00A54217">
      <w:pPr>
        <w:rPr>
          <w:szCs w:val="22"/>
        </w:rPr>
      </w:pPr>
    </w:p>
    <w:p w14:paraId="2875046E" w14:textId="77777777" w:rsidR="00A54217" w:rsidRPr="00AA256D" w:rsidRDefault="00A54217" w:rsidP="00A54217">
      <w:pPr>
        <w:ind w:left="851"/>
        <w:rPr>
          <w:szCs w:val="22"/>
        </w:rPr>
      </w:pPr>
      <w:r w:rsidRPr="00AA256D">
        <w:rPr>
          <w:szCs w:val="22"/>
        </w:rPr>
        <w:t xml:space="preserve">Behandling af </w:t>
      </w:r>
      <w:r>
        <w:rPr>
          <w:szCs w:val="22"/>
        </w:rPr>
        <w:t>DCM</w:t>
      </w:r>
      <w:r w:rsidRPr="00AA256D">
        <w:rPr>
          <w:szCs w:val="22"/>
        </w:rPr>
        <w:t xml:space="preserve"> i de</w:t>
      </w:r>
      <w:r>
        <w:rPr>
          <w:szCs w:val="22"/>
        </w:rPr>
        <w:t>t</w:t>
      </w:r>
      <w:r w:rsidRPr="00AA256D">
        <w:rPr>
          <w:szCs w:val="22"/>
        </w:rPr>
        <w:t xml:space="preserve"> prækliniske </w:t>
      </w:r>
      <w:r>
        <w:rPr>
          <w:szCs w:val="22"/>
        </w:rPr>
        <w:t>stadie</w:t>
      </w:r>
      <w:r w:rsidRPr="00AA256D">
        <w:rPr>
          <w:szCs w:val="22"/>
        </w:rPr>
        <w:t xml:space="preserve"> (asymptomatisk med en </w:t>
      </w:r>
      <w:r>
        <w:rPr>
          <w:szCs w:val="22"/>
        </w:rPr>
        <w:t>forøgelse af</w:t>
      </w:r>
      <w:r w:rsidRPr="00AA256D">
        <w:rPr>
          <w:szCs w:val="22"/>
        </w:rPr>
        <w:t xml:space="preserve"> venstre ventrikels slut-systoliske og slut-diastoliske diameter) hos </w:t>
      </w:r>
      <w:proofErr w:type="spellStart"/>
      <w:r w:rsidRPr="00AA256D">
        <w:rPr>
          <w:szCs w:val="22"/>
        </w:rPr>
        <w:t>dobermann</w:t>
      </w:r>
      <w:proofErr w:type="spellEnd"/>
      <w:r w:rsidRPr="00AA256D">
        <w:rPr>
          <w:szCs w:val="22"/>
        </w:rPr>
        <w:t xml:space="preserve"> pinscher efter ekkokardiografisk </w:t>
      </w:r>
      <w:r>
        <w:rPr>
          <w:szCs w:val="22"/>
        </w:rPr>
        <w:t>diagnosticering</w:t>
      </w:r>
      <w:r w:rsidRPr="00AA256D">
        <w:rPr>
          <w:szCs w:val="22"/>
        </w:rPr>
        <w:t xml:space="preserve"> af hjertesygdom. </w:t>
      </w:r>
    </w:p>
    <w:p w14:paraId="2C37B785" w14:textId="77777777" w:rsidR="00A54217" w:rsidRPr="00AA256D" w:rsidRDefault="00A54217" w:rsidP="00A54217">
      <w:pPr>
        <w:rPr>
          <w:szCs w:val="22"/>
        </w:rPr>
      </w:pPr>
    </w:p>
    <w:p w14:paraId="70882EB3" w14:textId="4EC34B68" w:rsidR="00A54217" w:rsidRPr="00F260F0" w:rsidRDefault="00A54217" w:rsidP="00A54217">
      <w:pPr>
        <w:ind w:left="851"/>
        <w:rPr>
          <w:szCs w:val="22"/>
        </w:rPr>
      </w:pPr>
      <w:r w:rsidRPr="00AA256D">
        <w:rPr>
          <w:szCs w:val="22"/>
        </w:rPr>
        <w:t xml:space="preserve">Behandling af </w:t>
      </w:r>
      <w:proofErr w:type="spellStart"/>
      <w:r w:rsidRPr="00AA256D">
        <w:rPr>
          <w:szCs w:val="22"/>
        </w:rPr>
        <w:t>myx</w:t>
      </w:r>
      <w:r>
        <w:rPr>
          <w:szCs w:val="22"/>
        </w:rPr>
        <w:t>ø</w:t>
      </w:r>
      <w:r w:rsidRPr="00AA256D">
        <w:rPr>
          <w:szCs w:val="22"/>
        </w:rPr>
        <w:t>matøs</w:t>
      </w:r>
      <w:proofErr w:type="spellEnd"/>
      <w:r w:rsidRPr="00AA256D">
        <w:rPr>
          <w:szCs w:val="22"/>
        </w:rPr>
        <w:t xml:space="preserve"> </w:t>
      </w:r>
      <w:proofErr w:type="spellStart"/>
      <w:r w:rsidRPr="00AA256D">
        <w:rPr>
          <w:szCs w:val="22"/>
        </w:rPr>
        <w:t>mitralklapsygdom</w:t>
      </w:r>
      <w:proofErr w:type="spellEnd"/>
      <w:r w:rsidRPr="00AA256D">
        <w:rPr>
          <w:szCs w:val="22"/>
        </w:rPr>
        <w:t xml:space="preserve"> (MMVD) </w:t>
      </w:r>
      <w:r>
        <w:rPr>
          <w:szCs w:val="22"/>
        </w:rPr>
        <w:t xml:space="preserve">hos hund </w:t>
      </w:r>
      <w:r w:rsidRPr="00AA256D">
        <w:rPr>
          <w:szCs w:val="22"/>
        </w:rPr>
        <w:t>i de</w:t>
      </w:r>
      <w:r>
        <w:rPr>
          <w:szCs w:val="22"/>
        </w:rPr>
        <w:t>t</w:t>
      </w:r>
      <w:r w:rsidRPr="00AA256D">
        <w:rPr>
          <w:szCs w:val="22"/>
        </w:rPr>
        <w:t xml:space="preserve"> prækliniske </w:t>
      </w:r>
      <w:r>
        <w:rPr>
          <w:szCs w:val="22"/>
        </w:rPr>
        <w:t>stadie</w:t>
      </w:r>
      <w:r w:rsidRPr="00AA256D">
        <w:rPr>
          <w:szCs w:val="22"/>
        </w:rPr>
        <w:t xml:space="preserve"> (asymptomatisk med </w:t>
      </w:r>
      <w:r>
        <w:rPr>
          <w:szCs w:val="22"/>
        </w:rPr>
        <w:t xml:space="preserve">en </w:t>
      </w:r>
      <w:r w:rsidRPr="00AA256D">
        <w:rPr>
          <w:szCs w:val="22"/>
        </w:rPr>
        <w:t>systolisk</w:t>
      </w:r>
      <w:r>
        <w:rPr>
          <w:szCs w:val="22"/>
        </w:rPr>
        <w:t xml:space="preserve"> mislyd over </w:t>
      </w:r>
      <w:proofErr w:type="spellStart"/>
      <w:r w:rsidRPr="00AA256D">
        <w:rPr>
          <w:szCs w:val="22"/>
        </w:rPr>
        <w:t>mitral</w:t>
      </w:r>
      <w:r>
        <w:rPr>
          <w:szCs w:val="22"/>
        </w:rPr>
        <w:t>klappen</w:t>
      </w:r>
      <w:proofErr w:type="spellEnd"/>
      <w:r w:rsidRPr="00AA256D">
        <w:rPr>
          <w:szCs w:val="22"/>
        </w:rPr>
        <w:t xml:space="preserve"> og øget hjertestørrelse)</w:t>
      </w:r>
      <w:r>
        <w:rPr>
          <w:szCs w:val="22"/>
        </w:rPr>
        <w:t xml:space="preserve"> </w:t>
      </w:r>
      <w:r w:rsidRPr="00AA256D">
        <w:rPr>
          <w:szCs w:val="22"/>
        </w:rPr>
        <w:t>for at forsinke</w:t>
      </w:r>
      <w:r>
        <w:rPr>
          <w:szCs w:val="22"/>
        </w:rPr>
        <w:t xml:space="preserve"> udvikling af</w:t>
      </w:r>
      <w:r w:rsidRPr="00AA256D">
        <w:rPr>
          <w:szCs w:val="22"/>
        </w:rPr>
        <w:t xml:space="preserve"> kliniske </w:t>
      </w:r>
      <w:r>
        <w:rPr>
          <w:szCs w:val="22"/>
        </w:rPr>
        <w:t>tegn</w:t>
      </w:r>
      <w:r w:rsidRPr="00AA256D">
        <w:rPr>
          <w:szCs w:val="22"/>
        </w:rPr>
        <w:t xml:space="preserve"> på </w:t>
      </w:r>
      <w:r w:rsidR="0011201F" w:rsidRPr="00AA256D">
        <w:rPr>
          <w:szCs w:val="22"/>
        </w:rPr>
        <w:t>hjerte</w:t>
      </w:r>
      <w:r w:rsidR="0011201F">
        <w:rPr>
          <w:szCs w:val="22"/>
        </w:rPr>
        <w:t>insufficiens</w:t>
      </w:r>
      <w:r w:rsidRPr="00AA256D">
        <w:rPr>
          <w:szCs w:val="22"/>
        </w:rPr>
        <w:t>.</w:t>
      </w:r>
    </w:p>
    <w:p w14:paraId="33746A83" w14:textId="77777777" w:rsidR="00A54217" w:rsidRPr="00F260F0" w:rsidRDefault="00A54217" w:rsidP="00A54217">
      <w:pPr>
        <w:rPr>
          <w:szCs w:val="22"/>
        </w:rPr>
      </w:pPr>
    </w:p>
    <w:p w14:paraId="1426E335" w14:textId="77777777" w:rsidR="00A54217" w:rsidRPr="00F260F0" w:rsidRDefault="00A54217" w:rsidP="00A54217">
      <w:pPr>
        <w:pStyle w:val="Style1"/>
        <w:ind w:left="851" w:hanging="851"/>
      </w:pPr>
      <w:r w:rsidRPr="00F260F0">
        <w:t>3.3</w:t>
      </w:r>
      <w:r w:rsidRPr="00F260F0">
        <w:tab/>
        <w:t>Kontraindikationer</w:t>
      </w:r>
    </w:p>
    <w:p w14:paraId="32E723E6" w14:textId="77777777" w:rsidR="00A54217" w:rsidRPr="00F260F0" w:rsidRDefault="00A54217" w:rsidP="00A54217">
      <w:pPr>
        <w:rPr>
          <w:szCs w:val="22"/>
        </w:rPr>
      </w:pPr>
    </w:p>
    <w:p w14:paraId="6858F882" w14:textId="77777777" w:rsidR="00A54217" w:rsidRDefault="00A54217" w:rsidP="00A54217">
      <w:pPr>
        <w:ind w:left="851"/>
      </w:pPr>
      <w:proofErr w:type="spellStart"/>
      <w:r>
        <w:t>Pimobendan</w:t>
      </w:r>
      <w:proofErr w:type="spellEnd"/>
      <w:r>
        <w:t xml:space="preserve"> må ikke anvendes ved </w:t>
      </w:r>
      <w:proofErr w:type="spellStart"/>
      <w:r>
        <w:t>hypertrofisk</w:t>
      </w:r>
      <w:proofErr w:type="spellEnd"/>
      <w:r>
        <w:t xml:space="preserve"> </w:t>
      </w:r>
      <w:proofErr w:type="spellStart"/>
      <w:r>
        <w:t>kardiomyopati</w:t>
      </w:r>
      <w:proofErr w:type="spellEnd"/>
      <w:r>
        <w:t xml:space="preserve"> eller kliniske tilstande, hvor en forøgelse af minutvolumen </w:t>
      </w:r>
      <w:r w:rsidRPr="00916B80">
        <w:t>umuliggøres</w:t>
      </w:r>
      <w:r>
        <w:t xml:space="preserve"> af funktionelle eller anatomiske årsager (f.eks. aorta stenose).</w:t>
      </w:r>
    </w:p>
    <w:p w14:paraId="384277C8" w14:textId="77777777" w:rsidR="00A54217" w:rsidRDefault="00A54217" w:rsidP="00A54217">
      <w:pPr>
        <w:ind w:left="851"/>
      </w:pPr>
      <w:r>
        <w:t xml:space="preserve">Da </w:t>
      </w:r>
      <w:proofErr w:type="spellStart"/>
      <w:r>
        <w:t>pimobendan</w:t>
      </w:r>
      <w:proofErr w:type="spellEnd"/>
      <w:r>
        <w:t xml:space="preserve"> hovedsageligt </w:t>
      </w:r>
      <w:proofErr w:type="spellStart"/>
      <w:r>
        <w:t>metaboliseres</w:t>
      </w:r>
      <w:proofErr w:type="spellEnd"/>
      <w:r>
        <w:t xml:space="preserve"> via leveren, bør det ikke anvendes til hunde med svært nedsat leverfunktion.</w:t>
      </w:r>
    </w:p>
    <w:p w14:paraId="68FA045A" w14:textId="77777777" w:rsidR="00A54217" w:rsidRDefault="00A54217" w:rsidP="00A54217">
      <w:pPr>
        <w:ind w:left="851"/>
      </w:pPr>
      <w:r>
        <w:t>Må ikke anvendes i tilfælde af overfølsomhed over for det aktive stof, eller over for et eller flere af hjælpestofferne.</w:t>
      </w:r>
    </w:p>
    <w:p w14:paraId="5A85E296" w14:textId="77777777" w:rsidR="00A54217" w:rsidRPr="00F260F0" w:rsidRDefault="00A54217" w:rsidP="00A54217">
      <w:pPr>
        <w:rPr>
          <w:szCs w:val="22"/>
        </w:rPr>
      </w:pPr>
    </w:p>
    <w:p w14:paraId="5D5271ED" w14:textId="77777777" w:rsidR="00A54217" w:rsidRPr="00F260F0" w:rsidRDefault="00A54217" w:rsidP="00A54217">
      <w:pPr>
        <w:pStyle w:val="Style1"/>
        <w:ind w:left="851" w:hanging="851"/>
      </w:pPr>
      <w:r w:rsidRPr="00F260F0">
        <w:t>3.4</w:t>
      </w:r>
      <w:r w:rsidRPr="00F260F0">
        <w:tab/>
        <w:t>Særlige advarsler</w:t>
      </w:r>
    </w:p>
    <w:p w14:paraId="3EE97E58" w14:textId="77777777" w:rsidR="00A54217" w:rsidRPr="00F260F0" w:rsidRDefault="00A54217" w:rsidP="00A54217">
      <w:pPr>
        <w:rPr>
          <w:szCs w:val="22"/>
        </w:rPr>
      </w:pPr>
    </w:p>
    <w:p w14:paraId="1EA0C95E" w14:textId="6A2BC180" w:rsidR="00A54217" w:rsidRDefault="00A54217" w:rsidP="00A54217">
      <w:pPr>
        <w:ind w:left="851"/>
      </w:pPr>
      <w:r>
        <w:t xml:space="preserve">Veterinærlægemidlet er ikke testet i tilfælde af asymptomatisk </w:t>
      </w:r>
      <w:proofErr w:type="spellStart"/>
      <w:r>
        <w:t>dilateret</w:t>
      </w:r>
      <w:proofErr w:type="spellEnd"/>
      <w:r>
        <w:t xml:space="preserve"> </w:t>
      </w:r>
      <w:proofErr w:type="spellStart"/>
      <w:r>
        <w:t>kardiomyopati</w:t>
      </w:r>
      <w:proofErr w:type="spellEnd"/>
      <w:r>
        <w:t xml:space="preserve"> hos </w:t>
      </w:r>
      <w:proofErr w:type="spellStart"/>
      <w:r>
        <w:t>dobermann</w:t>
      </w:r>
      <w:proofErr w:type="spellEnd"/>
      <w:r>
        <w:t xml:space="preserve"> med </w:t>
      </w:r>
      <w:proofErr w:type="spellStart"/>
      <w:r>
        <w:t>atrieflimmer</w:t>
      </w:r>
      <w:proofErr w:type="spellEnd"/>
      <w:r>
        <w:t xml:space="preserve"> eller vedvarende </w:t>
      </w:r>
      <w:proofErr w:type="spellStart"/>
      <w:r>
        <w:t>ventrikulær</w:t>
      </w:r>
      <w:proofErr w:type="spellEnd"/>
      <w:r>
        <w:t xml:space="preserve"> </w:t>
      </w:r>
      <w:proofErr w:type="spellStart"/>
      <w:r>
        <w:t>takykardi</w:t>
      </w:r>
      <w:proofErr w:type="spellEnd"/>
      <w:r>
        <w:t>.</w:t>
      </w:r>
    </w:p>
    <w:p w14:paraId="1959D4FF" w14:textId="77777777" w:rsidR="00A54217" w:rsidRDefault="00A54217" w:rsidP="00A54217"/>
    <w:p w14:paraId="264CF6CE" w14:textId="77777777" w:rsidR="00A54217" w:rsidRDefault="00A54217" w:rsidP="00A54217">
      <w:pPr>
        <w:ind w:left="851"/>
      </w:pPr>
      <w:r>
        <w:t xml:space="preserve">Veterinærlægemidlet er ikke testet i tilfælde af asymptomatisk </w:t>
      </w:r>
      <w:proofErr w:type="spellStart"/>
      <w:r>
        <w:t>myxømatøs</w:t>
      </w:r>
      <w:proofErr w:type="spellEnd"/>
      <w:r>
        <w:t xml:space="preserve"> </w:t>
      </w:r>
      <w:proofErr w:type="spellStart"/>
      <w:r>
        <w:t>mitralklapsygdom</w:t>
      </w:r>
      <w:proofErr w:type="spellEnd"/>
      <w:r>
        <w:t xml:space="preserve"> hos hunde med signifikant </w:t>
      </w:r>
      <w:proofErr w:type="spellStart"/>
      <w:r>
        <w:t>supraventrikulær</w:t>
      </w:r>
      <w:proofErr w:type="spellEnd"/>
      <w:r>
        <w:t xml:space="preserve"> og/eller </w:t>
      </w:r>
      <w:proofErr w:type="spellStart"/>
      <w:r>
        <w:t>ventrikulær</w:t>
      </w:r>
      <w:proofErr w:type="spellEnd"/>
      <w:r>
        <w:t xml:space="preserve"> </w:t>
      </w:r>
      <w:proofErr w:type="spellStart"/>
      <w:r>
        <w:t>takyarytmi</w:t>
      </w:r>
      <w:proofErr w:type="spellEnd"/>
      <w:r>
        <w:t>.</w:t>
      </w:r>
    </w:p>
    <w:p w14:paraId="71A51134" w14:textId="77777777" w:rsidR="00A54217" w:rsidRPr="00F260F0" w:rsidRDefault="00A54217" w:rsidP="00A54217">
      <w:pPr>
        <w:rPr>
          <w:szCs w:val="22"/>
        </w:rPr>
      </w:pPr>
    </w:p>
    <w:p w14:paraId="6491E5F5" w14:textId="77777777" w:rsidR="00A54217" w:rsidRPr="00F260F0" w:rsidRDefault="00A54217" w:rsidP="00A54217">
      <w:pPr>
        <w:pStyle w:val="Style1"/>
        <w:ind w:left="851" w:hanging="851"/>
      </w:pPr>
      <w:r w:rsidRPr="00F260F0">
        <w:t>3.5</w:t>
      </w:r>
      <w:r w:rsidRPr="00F260F0">
        <w:tab/>
        <w:t>Særlige forholdsregler vedrørende brugen</w:t>
      </w:r>
    </w:p>
    <w:p w14:paraId="4C2FE1C3" w14:textId="77777777" w:rsidR="00A54217" w:rsidRPr="00F260F0" w:rsidRDefault="00A54217" w:rsidP="00A54217">
      <w:pPr>
        <w:rPr>
          <w:szCs w:val="22"/>
        </w:rPr>
      </w:pPr>
    </w:p>
    <w:p w14:paraId="63F4D60C" w14:textId="77777777" w:rsidR="00A54217" w:rsidRPr="00F260F0" w:rsidRDefault="00A54217" w:rsidP="00A54217">
      <w:pPr>
        <w:ind w:firstLine="851"/>
        <w:rPr>
          <w:szCs w:val="22"/>
          <w:u w:val="single"/>
        </w:rPr>
      </w:pPr>
      <w:r w:rsidRPr="00F260F0">
        <w:rPr>
          <w:szCs w:val="22"/>
          <w:u w:val="single"/>
        </w:rPr>
        <w:t>Særlige forholdsregler vedrørende sikker brug hos de dyrearter, som lægemidlet er beregnet til:</w:t>
      </w:r>
    </w:p>
    <w:p w14:paraId="42C46CE4" w14:textId="77777777" w:rsidR="00A54217" w:rsidRDefault="00A54217" w:rsidP="00A54217">
      <w:pPr>
        <w:ind w:left="851"/>
      </w:pPr>
      <w:r>
        <w:rPr>
          <w:szCs w:val="22"/>
        </w:rPr>
        <w:t xml:space="preserve">Blodglukose skal </w:t>
      </w:r>
      <w:r>
        <w:t xml:space="preserve">kontrolleres regelmæssigt under behandlingen hos hunde med diagnosticeret diabetes mellitus. Ved behandling af </w:t>
      </w:r>
      <w:proofErr w:type="spellStart"/>
      <w:r>
        <w:t>dilateret</w:t>
      </w:r>
      <w:proofErr w:type="spellEnd"/>
      <w:r>
        <w:t xml:space="preserve"> </w:t>
      </w:r>
      <w:proofErr w:type="spellStart"/>
      <w:r>
        <w:t>kardiomyopati</w:t>
      </w:r>
      <w:proofErr w:type="spellEnd"/>
      <w:r>
        <w:t xml:space="preserve"> i det prækliniske stadie (asymptomatisk med en forøgelse af venstre ventrikels slut-systoliske og slut-diastoliske diameter), skal diagnosen baseres på en omfattende hjerteundersøgelse (inkl. Ekkokardiografisk undersøgelse og evt. </w:t>
      </w:r>
      <w:proofErr w:type="spellStart"/>
      <w:r>
        <w:t>Holter</w:t>
      </w:r>
      <w:proofErr w:type="spellEnd"/>
      <w:r>
        <w:t>-monitorering).</w:t>
      </w:r>
    </w:p>
    <w:p w14:paraId="04923B34" w14:textId="77777777" w:rsidR="00A54217" w:rsidRDefault="00A54217" w:rsidP="00A54217"/>
    <w:p w14:paraId="78F5DB3B" w14:textId="77777777" w:rsidR="00A54217" w:rsidRDefault="00A54217" w:rsidP="00A54217">
      <w:pPr>
        <w:ind w:left="851"/>
      </w:pPr>
      <w:r>
        <w:t xml:space="preserve">Ved behandling af </w:t>
      </w:r>
      <w:proofErr w:type="spellStart"/>
      <w:r>
        <w:t>myxømatøs</w:t>
      </w:r>
      <w:proofErr w:type="spellEnd"/>
      <w:r>
        <w:t xml:space="preserve"> </w:t>
      </w:r>
      <w:proofErr w:type="spellStart"/>
      <w:r>
        <w:t>mitralklapsygdom</w:t>
      </w:r>
      <w:proofErr w:type="spellEnd"/>
      <w:r>
        <w:t xml:space="preserve"> (MMVD) i det prækliniske stadie (stadie B2, i henhold til ACVIM-konsensus: asymptomatisk med </w:t>
      </w:r>
      <w:r>
        <w:rPr>
          <w:szCs w:val="22"/>
        </w:rPr>
        <w:t xml:space="preserve">mislyd over </w:t>
      </w:r>
      <w:proofErr w:type="spellStart"/>
      <w:r w:rsidRPr="00AA256D">
        <w:rPr>
          <w:szCs w:val="22"/>
        </w:rPr>
        <w:t>mitral</w:t>
      </w:r>
      <w:r>
        <w:rPr>
          <w:szCs w:val="22"/>
        </w:rPr>
        <w:t>klappen</w:t>
      </w:r>
      <w:proofErr w:type="spellEnd"/>
      <w:r w:rsidRPr="00AA256D">
        <w:rPr>
          <w:szCs w:val="22"/>
        </w:rPr>
        <w:t xml:space="preserve"> </w:t>
      </w:r>
      <w:r>
        <w:t xml:space="preserve">≥ 3/6 og </w:t>
      </w:r>
      <w:proofErr w:type="spellStart"/>
      <w:r>
        <w:t>kardiomegali</w:t>
      </w:r>
      <w:proofErr w:type="spellEnd"/>
      <w:r>
        <w:t xml:space="preserve"> forårsaget af MMVD), skal diagnosen baseres på en omfattende klinisk og </w:t>
      </w:r>
      <w:r>
        <w:lastRenderedPageBreak/>
        <w:t>kardiologisk undersøgelse, som bør omfatte ekkokardiografi eller røntgenundersøgelse hvor relevant.</w:t>
      </w:r>
    </w:p>
    <w:p w14:paraId="0AE8601F" w14:textId="77777777" w:rsidR="00A54217" w:rsidRDefault="00A54217" w:rsidP="00A54217"/>
    <w:p w14:paraId="0FBC3824" w14:textId="77777777" w:rsidR="00A54217" w:rsidRDefault="00A54217" w:rsidP="00A54217">
      <w:pPr>
        <w:ind w:left="851"/>
      </w:pPr>
      <w:r>
        <w:t xml:space="preserve">Det anbefales at hjertefunktion og -morfologi overvåges hos dyr, der behandles med </w:t>
      </w:r>
      <w:proofErr w:type="spellStart"/>
      <w:r>
        <w:t>pimobendan</w:t>
      </w:r>
      <w:proofErr w:type="spellEnd"/>
      <w:r>
        <w:t>.</w:t>
      </w:r>
    </w:p>
    <w:p w14:paraId="42C27D5E" w14:textId="77777777" w:rsidR="00A54217" w:rsidRDefault="00A54217" w:rsidP="00A54217"/>
    <w:p w14:paraId="3A505325" w14:textId="77777777" w:rsidR="00A54217" w:rsidRDefault="00A54217" w:rsidP="00A54217">
      <w:pPr>
        <w:ind w:left="851"/>
      </w:pPr>
      <w:r>
        <w:t>Tyggetabletterne er tilsat smag. For at undgå utilsigtet indtagelse, skal tabletterne opbevares utilgængeligt for dyr.</w:t>
      </w:r>
    </w:p>
    <w:p w14:paraId="36927DAC" w14:textId="77777777" w:rsidR="00A54217" w:rsidRPr="00F260F0" w:rsidRDefault="00A54217" w:rsidP="00A54217">
      <w:pPr>
        <w:rPr>
          <w:szCs w:val="22"/>
        </w:rPr>
      </w:pPr>
    </w:p>
    <w:p w14:paraId="2CEBF10C" w14:textId="77777777" w:rsidR="00A54217" w:rsidRPr="00F260F0" w:rsidRDefault="00A54217" w:rsidP="00A54217">
      <w:pPr>
        <w:ind w:firstLine="851"/>
        <w:rPr>
          <w:szCs w:val="22"/>
          <w:u w:val="single"/>
        </w:rPr>
      </w:pPr>
      <w:r w:rsidRPr="00F260F0">
        <w:rPr>
          <w:szCs w:val="22"/>
          <w:u w:val="single"/>
        </w:rPr>
        <w:t xml:space="preserve">Særlige forholdsregler for personer, </w:t>
      </w:r>
      <w:r>
        <w:rPr>
          <w:szCs w:val="22"/>
          <w:u w:val="single"/>
        </w:rPr>
        <w:t>der administrerer</w:t>
      </w:r>
      <w:r w:rsidRPr="00F260F0">
        <w:rPr>
          <w:szCs w:val="22"/>
          <w:u w:val="single"/>
        </w:rPr>
        <w:t xml:space="preserve"> </w:t>
      </w:r>
      <w:r>
        <w:rPr>
          <w:szCs w:val="22"/>
          <w:u w:val="single"/>
        </w:rPr>
        <w:t>veterinær</w:t>
      </w:r>
      <w:r w:rsidRPr="00F260F0">
        <w:rPr>
          <w:szCs w:val="22"/>
          <w:u w:val="single"/>
        </w:rPr>
        <w:t>lægemidlet til dyr:</w:t>
      </w:r>
    </w:p>
    <w:p w14:paraId="728B30B9" w14:textId="77777777" w:rsidR="00A54217" w:rsidRPr="00FF6BB9" w:rsidRDefault="00A54217" w:rsidP="00A54217">
      <w:pPr>
        <w:ind w:firstLine="851"/>
        <w:rPr>
          <w:szCs w:val="22"/>
        </w:rPr>
      </w:pPr>
      <w:r w:rsidRPr="00FF6BB9">
        <w:rPr>
          <w:szCs w:val="22"/>
        </w:rPr>
        <w:t>Vask hænderne efter brug.</w:t>
      </w:r>
    </w:p>
    <w:p w14:paraId="60D92177" w14:textId="77777777" w:rsidR="00A54217" w:rsidRPr="00FF6BB9" w:rsidRDefault="00A54217" w:rsidP="00A54217">
      <w:pPr>
        <w:ind w:left="851"/>
        <w:rPr>
          <w:szCs w:val="22"/>
        </w:rPr>
      </w:pPr>
      <w:r w:rsidRPr="00FF6BB9">
        <w:rPr>
          <w:szCs w:val="22"/>
        </w:rPr>
        <w:t xml:space="preserve">For at undgå </w:t>
      </w:r>
      <w:r>
        <w:t xml:space="preserve">utilsigtet </w:t>
      </w:r>
      <w:r w:rsidRPr="00F260F0">
        <w:t>ind</w:t>
      </w:r>
      <w:r>
        <w:t>tagelse</w:t>
      </w:r>
      <w:r>
        <w:rPr>
          <w:szCs w:val="22"/>
        </w:rPr>
        <w:t xml:space="preserve"> af veterinærlægemidlet</w:t>
      </w:r>
      <w:r w:rsidRPr="00FF6BB9">
        <w:rPr>
          <w:szCs w:val="22"/>
        </w:rPr>
        <w:t xml:space="preserve"> hos børn ved hændeligt uheld bør delte eller ubrugte tabletter lægges tilbage i </w:t>
      </w:r>
      <w:r>
        <w:rPr>
          <w:szCs w:val="22"/>
        </w:rPr>
        <w:t xml:space="preserve">den åbne </w:t>
      </w:r>
      <w:r w:rsidRPr="00FF6BB9">
        <w:rPr>
          <w:szCs w:val="22"/>
        </w:rPr>
        <w:t xml:space="preserve">blisterlomme og </w:t>
      </w:r>
      <w:r>
        <w:rPr>
          <w:szCs w:val="22"/>
        </w:rPr>
        <w:t>placeres</w:t>
      </w:r>
      <w:r w:rsidRPr="00FF6BB9">
        <w:rPr>
          <w:szCs w:val="22"/>
        </w:rPr>
        <w:t xml:space="preserve"> i papæsken.</w:t>
      </w:r>
    </w:p>
    <w:p w14:paraId="04E5C09B" w14:textId="77777777" w:rsidR="00A54217" w:rsidRPr="00FF6BB9" w:rsidRDefault="00A54217" w:rsidP="00A54217">
      <w:pPr>
        <w:ind w:left="851"/>
        <w:rPr>
          <w:szCs w:val="22"/>
        </w:rPr>
      </w:pPr>
      <w:r w:rsidRPr="00FF6BB9">
        <w:rPr>
          <w:szCs w:val="22"/>
        </w:rPr>
        <w:t xml:space="preserve">I tilfælde af </w:t>
      </w:r>
      <w:r>
        <w:t xml:space="preserve">utilsigtet </w:t>
      </w:r>
      <w:r w:rsidRPr="00F260F0">
        <w:t>ind</w:t>
      </w:r>
      <w:r>
        <w:t>tagelse</w:t>
      </w:r>
      <w:r w:rsidRPr="00FF6BB9">
        <w:rPr>
          <w:szCs w:val="22"/>
        </w:rPr>
        <w:t xml:space="preserve"> ved hændeligt uheld skal der straks søges lægehjælp, og indlægssedlen eller etiketten bør vises til lægen. </w:t>
      </w:r>
    </w:p>
    <w:p w14:paraId="7D1A9CC6" w14:textId="77777777" w:rsidR="00A54217" w:rsidRDefault="00A54217" w:rsidP="00A54217">
      <w:pPr>
        <w:ind w:left="851"/>
        <w:rPr>
          <w:szCs w:val="22"/>
        </w:rPr>
      </w:pPr>
      <w:r>
        <w:rPr>
          <w:szCs w:val="22"/>
        </w:rPr>
        <w:t>T</w:t>
      </w:r>
      <w:r w:rsidRPr="00FF6BB9">
        <w:rPr>
          <w:szCs w:val="22"/>
        </w:rPr>
        <w:t xml:space="preserve">il lægen: </w:t>
      </w:r>
      <w:r>
        <w:t xml:space="preserve">Utilsigtet </w:t>
      </w:r>
      <w:r w:rsidRPr="00F260F0">
        <w:t>ind</w:t>
      </w:r>
      <w:r>
        <w:t>tagelse</w:t>
      </w:r>
      <w:r w:rsidRPr="00FF6BB9">
        <w:rPr>
          <w:szCs w:val="22"/>
        </w:rPr>
        <w:t xml:space="preserve">, især hos børn, kan medføre </w:t>
      </w:r>
      <w:proofErr w:type="spellStart"/>
      <w:r w:rsidRPr="00FF6BB9">
        <w:rPr>
          <w:szCs w:val="22"/>
        </w:rPr>
        <w:t>takykardi</w:t>
      </w:r>
      <w:proofErr w:type="spellEnd"/>
      <w:r w:rsidRPr="00FF6BB9">
        <w:rPr>
          <w:szCs w:val="22"/>
        </w:rPr>
        <w:t xml:space="preserve">, </w:t>
      </w:r>
      <w:proofErr w:type="spellStart"/>
      <w:r w:rsidRPr="00FF6BB9">
        <w:rPr>
          <w:szCs w:val="22"/>
        </w:rPr>
        <w:t>ortostatisk</w:t>
      </w:r>
      <w:proofErr w:type="spellEnd"/>
      <w:r w:rsidRPr="00FF6BB9">
        <w:rPr>
          <w:szCs w:val="22"/>
        </w:rPr>
        <w:t xml:space="preserve"> hypotension, ansigtsrødmen og hovedpine.</w:t>
      </w:r>
    </w:p>
    <w:p w14:paraId="00FD470D" w14:textId="77777777" w:rsidR="00A54217" w:rsidRDefault="00A54217" w:rsidP="00A54217">
      <w:pPr>
        <w:rPr>
          <w:szCs w:val="22"/>
        </w:rPr>
      </w:pPr>
    </w:p>
    <w:p w14:paraId="0F9B7F97" w14:textId="77777777" w:rsidR="00A54217" w:rsidRPr="00F260F0" w:rsidRDefault="00A54217" w:rsidP="00A54217">
      <w:pPr>
        <w:ind w:firstLine="851"/>
        <w:rPr>
          <w:szCs w:val="22"/>
          <w:u w:val="single"/>
        </w:rPr>
      </w:pPr>
      <w:r w:rsidRPr="00F260F0">
        <w:rPr>
          <w:szCs w:val="22"/>
          <w:u w:val="single"/>
        </w:rPr>
        <w:t>Særlige forholdsregler vedrørende beskyttelse af miljøet:</w:t>
      </w:r>
    </w:p>
    <w:p w14:paraId="5B7A6A5E" w14:textId="77777777" w:rsidR="00A54217" w:rsidRPr="00F260F0" w:rsidRDefault="00A54217" w:rsidP="00A54217">
      <w:pPr>
        <w:ind w:firstLine="851"/>
        <w:rPr>
          <w:szCs w:val="22"/>
        </w:rPr>
      </w:pPr>
      <w:r w:rsidRPr="00F260F0">
        <w:t>Ikke relevant.</w:t>
      </w:r>
    </w:p>
    <w:p w14:paraId="024F8B6E" w14:textId="77777777" w:rsidR="00A54217" w:rsidRPr="00F260F0" w:rsidRDefault="00A54217" w:rsidP="00A54217">
      <w:pPr>
        <w:rPr>
          <w:szCs w:val="22"/>
        </w:rPr>
      </w:pPr>
    </w:p>
    <w:p w14:paraId="40A4ACB7" w14:textId="77777777" w:rsidR="00A54217" w:rsidRPr="00F260F0" w:rsidRDefault="00A54217" w:rsidP="00A54217">
      <w:pPr>
        <w:pStyle w:val="Style1"/>
        <w:ind w:left="851" w:hanging="709"/>
      </w:pPr>
      <w:r w:rsidRPr="00F260F0">
        <w:t>3.6</w:t>
      </w:r>
      <w:r w:rsidRPr="00F260F0">
        <w:tab/>
        <w:t>Bivirkninger</w:t>
      </w:r>
    </w:p>
    <w:p w14:paraId="0882B357" w14:textId="77777777" w:rsidR="00A54217" w:rsidRPr="00F260F0" w:rsidRDefault="00A54217" w:rsidP="00A54217">
      <w:pPr>
        <w:rPr>
          <w:szCs w:val="22"/>
        </w:rPr>
      </w:pPr>
    </w:p>
    <w:p w14:paraId="1926C655" w14:textId="3530A58E" w:rsidR="00A54217" w:rsidRPr="00F260F0" w:rsidRDefault="00A54217" w:rsidP="00A54217">
      <w:pPr>
        <w:keepNext/>
        <w:ind w:firstLine="851"/>
        <w:rPr>
          <w:szCs w:val="22"/>
        </w:rPr>
      </w:pPr>
      <w:bookmarkStart w:id="2" w:name="_Hlk66891708"/>
      <w:r>
        <w:t>Hund:</w:t>
      </w:r>
    </w:p>
    <w:p w14:paraId="7F93676B" w14:textId="77777777" w:rsidR="00A54217" w:rsidRPr="00F260F0" w:rsidRDefault="00A54217" w:rsidP="00A54217">
      <w:pPr>
        <w:keepNext/>
        <w:rPr>
          <w:szCs w:val="22"/>
        </w:rPr>
      </w:pPr>
    </w:p>
    <w:tbl>
      <w:tblPr>
        <w:tblW w:w="456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5392"/>
      </w:tblGrid>
      <w:tr w:rsidR="00A54217" w:rsidRPr="00C93D44" w14:paraId="1A97D931" w14:textId="77777777" w:rsidTr="00A54217">
        <w:tc>
          <w:tcPr>
            <w:tcW w:w="1930" w:type="pct"/>
          </w:tcPr>
          <w:p w14:paraId="54F36B15" w14:textId="77777777" w:rsidR="00A54217" w:rsidRPr="00F260F0" w:rsidRDefault="00A54217" w:rsidP="00A54217">
            <w:pPr>
              <w:keepNext/>
              <w:spacing w:before="60" w:after="60"/>
              <w:ind w:left="27" w:hanging="27"/>
              <w:rPr>
                <w:szCs w:val="22"/>
              </w:rPr>
            </w:pPr>
            <w:r w:rsidRPr="00F260F0">
              <w:t>Sjælden</w:t>
            </w:r>
          </w:p>
          <w:p w14:paraId="195FDE2C" w14:textId="77777777" w:rsidR="00A54217" w:rsidRPr="00F260F0" w:rsidRDefault="00A54217" w:rsidP="00A54217">
            <w:pPr>
              <w:keepNext/>
              <w:spacing w:before="60" w:after="60"/>
              <w:ind w:left="27" w:hanging="27"/>
              <w:rPr>
                <w:szCs w:val="22"/>
              </w:rPr>
            </w:pPr>
            <w:r w:rsidRPr="00F260F0">
              <w:t>(1 til 10 dyr ud af 10</w:t>
            </w:r>
            <w:r>
              <w:t>.</w:t>
            </w:r>
            <w:r w:rsidRPr="00F260F0">
              <w:t>000 behandlede dyr):</w:t>
            </w:r>
          </w:p>
        </w:tc>
        <w:tc>
          <w:tcPr>
            <w:tcW w:w="3070" w:type="pct"/>
          </w:tcPr>
          <w:p w14:paraId="0DDAF3C9" w14:textId="77777777" w:rsidR="00A54217" w:rsidRPr="00C93D44" w:rsidRDefault="00A54217" w:rsidP="00AD46D7">
            <w:pPr>
              <w:keepNext/>
              <w:tabs>
                <w:tab w:val="left" w:pos="720"/>
              </w:tabs>
              <w:ind w:left="323" w:hanging="323"/>
              <w:rPr>
                <w:rFonts w:eastAsia="Calibri"/>
              </w:rPr>
            </w:pPr>
            <w:r w:rsidRPr="00C93D44">
              <w:rPr>
                <w:szCs w:val="22"/>
              </w:rPr>
              <w:t>-</w:t>
            </w:r>
            <w:r w:rsidRPr="00C93D44">
              <w:rPr>
                <w:szCs w:val="22"/>
              </w:rPr>
              <w:tab/>
              <w:t>Opkastning</w:t>
            </w:r>
            <w:r w:rsidRPr="00C93D44">
              <w:rPr>
                <w:rFonts w:eastAsia="Calibri"/>
                <w:vertAlign w:val="superscript"/>
              </w:rPr>
              <w:t>1</w:t>
            </w:r>
            <w:r w:rsidRPr="00C93D44">
              <w:rPr>
                <w:szCs w:val="22"/>
              </w:rPr>
              <w:t>, diarré</w:t>
            </w:r>
            <w:r w:rsidRPr="00C93D44">
              <w:rPr>
                <w:szCs w:val="22"/>
                <w:vertAlign w:val="superscript"/>
              </w:rPr>
              <w:t>2</w:t>
            </w:r>
          </w:p>
          <w:p w14:paraId="23C72988" w14:textId="77777777" w:rsidR="00A54217" w:rsidRPr="00C93D44" w:rsidRDefault="00A54217" w:rsidP="00AD46D7">
            <w:pPr>
              <w:keepNext/>
              <w:ind w:left="323" w:hanging="323"/>
              <w:jc w:val="both"/>
              <w:rPr>
                <w:szCs w:val="22"/>
                <w:vertAlign w:val="superscript"/>
              </w:rPr>
            </w:pPr>
            <w:r w:rsidRPr="00C93D44">
              <w:rPr>
                <w:szCs w:val="22"/>
              </w:rPr>
              <w:t>-</w:t>
            </w:r>
            <w:r w:rsidRPr="00C93D44">
              <w:rPr>
                <w:szCs w:val="22"/>
              </w:rPr>
              <w:tab/>
              <w:t>Anoreksi</w:t>
            </w:r>
            <w:r w:rsidRPr="00C93D44">
              <w:rPr>
                <w:szCs w:val="22"/>
                <w:vertAlign w:val="superscript"/>
              </w:rPr>
              <w:t>2</w:t>
            </w:r>
            <w:r w:rsidRPr="00C93D44">
              <w:rPr>
                <w:szCs w:val="22"/>
              </w:rPr>
              <w:t>, letargi</w:t>
            </w:r>
            <w:r w:rsidRPr="00C93D44">
              <w:rPr>
                <w:szCs w:val="22"/>
                <w:vertAlign w:val="superscript"/>
              </w:rPr>
              <w:t xml:space="preserve">2 </w:t>
            </w:r>
          </w:p>
          <w:p w14:paraId="2A911322" w14:textId="77777777" w:rsidR="00A54217" w:rsidRPr="00C93D44" w:rsidRDefault="00A54217" w:rsidP="00AD46D7">
            <w:pPr>
              <w:keepNext/>
              <w:ind w:left="323" w:hanging="323"/>
              <w:jc w:val="both"/>
              <w:rPr>
                <w:iCs/>
                <w:szCs w:val="22"/>
              </w:rPr>
            </w:pPr>
            <w:r w:rsidRPr="00E838B3">
              <w:rPr>
                <w:szCs w:val="22"/>
              </w:rPr>
              <w:t>-</w:t>
            </w:r>
            <w:r w:rsidRPr="00E838B3">
              <w:rPr>
                <w:szCs w:val="22"/>
              </w:rPr>
              <w:tab/>
              <w:t>Øget hjertefrekvens</w:t>
            </w:r>
            <w:r w:rsidRPr="00E838B3">
              <w:rPr>
                <w:rFonts w:eastAsia="Calibri"/>
                <w:vertAlign w:val="superscript"/>
              </w:rPr>
              <w:t>1,</w:t>
            </w:r>
            <w:r w:rsidRPr="00E838B3">
              <w:rPr>
                <w:vertAlign w:val="superscript"/>
              </w:rPr>
              <w:t>3</w:t>
            </w:r>
            <w:r w:rsidRPr="00E838B3">
              <w:rPr>
                <w:szCs w:val="22"/>
              </w:rPr>
              <w:t>,</w:t>
            </w:r>
            <w:r w:rsidRPr="00E838B3">
              <w:rPr>
                <w:rFonts w:eastAsia="Calibri"/>
                <w:vertAlign w:val="superscript"/>
              </w:rPr>
              <w:t xml:space="preserve"> </w:t>
            </w:r>
            <w:r w:rsidRPr="00E838B3">
              <w:t xml:space="preserve">øget </w:t>
            </w:r>
            <w:proofErr w:type="spellStart"/>
            <w:r w:rsidRPr="00E838B3">
              <w:t>mitral</w:t>
            </w:r>
            <w:proofErr w:type="spellEnd"/>
            <w:r w:rsidRPr="00E838B3">
              <w:t xml:space="preserve"> regurgit</w:t>
            </w:r>
            <w:r>
              <w:t>ation</w:t>
            </w:r>
            <w:r w:rsidRPr="00E838B3">
              <w:rPr>
                <w:vertAlign w:val="superscript"/>
              </w:rPr>
              <w:t>4</w:t>
            </w:r>
          </w:p>
        </w:tc>
      </w:tr>
      <w:tr w:rsidR="00A54217" w14:paraId="454F56B4" w14:textId="77777777" w:rsidTr="00A54217">
        <w:tc>
          <w:tcPr>
            <w:tcW w:w="1930" w:type="pct"/>
          </w:tcPr>
          <w:p w14:paraId="4E73FE79" w14:textId="77777777" w:rsidR="00A54217" w:rsidRPr="00F260F0" w:rsidRDefault="00A54217" w:rsidP="00A54217">
            <w:pPr>
              <w:keepNext/>
              <w:spacing w:before="60" w:after="60"/>
              <w:ind w:left="27" w:hanging="27"/>
              <w:rPr>
                <w:szCs w:val="22"/>
              </w:rPr>
            </w:pPr>
            <w:r w:rsidRPr="00F260F0">
              <w:t>Meget sjælden</w:t>
            </w:r>
          </w:p>
          <w:p w14:paraId="52F64158" w14:textId="77777777" w:rsidR="00A54217" w:rsidRPr="00F260F0" w:rsidRDefault="00A54217" w:rsidP="00A54217">
            <w:pPr>
              <w:keepNext/>
              <w:spacing w:before="60" w:after="60"/>
              <w:ind w:left="27" w:hanging="27"/>
              <w:rPr>
                <w:szCs w:val="22"/>
              </w:rPr>
            </w:pPr>
            <w:r w:rsidRPr="00F260F0">
              <w:t>(&lt; 1 dyr ud af 10</w:t>
            </w:r>
            <w:r>
              <w:t>.</w:t>
            </w:r>
            <w:r w:rsidRPr="00F260F0">
              <w:t>000 behandlede dyr, herunder enkeltstående indberetninger):</w:t>
            </w:r>
          </w:p>
        </w:tc>
        <w:tc>
          <w:tcPr>
            <w:tcW w:w="3070" w:type="pct"/>
            <w:hideMark/>
          </w:tcPr>
          <w:p w14:paraId="4C35C18F" w14:textId="77777777" w:rsidR="00A54217" w:rsidRPr="00F260F0" w:rsidRDefault="00A54217" w:rsidP="00AD46D7">
            <w:pPr>
              <w:keepNext/>
              <w:tabs>
                <w:tab w:val="left" w:pos="600"/>
              </w:tabs>
              <w:spacing w:before="60" w:after="60"/>
              <w:ind w:left="316" w:hanging="316"/>
              <w:rPr>
                <w:iCs/>
                <w:szCs w:val="22"/>
              </w:rPr>
            </w:pPr>
            <w:r w:rsidRPr="00E838B3">
              <w:t>-</w:t>
            </w:r>
            <w:r w:rsidRPr="00E838B3">
              <w:tab/>
            </w:r>
            <w:proofErr w:type="spellStart"/>
            <w:r>
              <w:t>Petekkier</w:t>
            </w:r>
            <w:proofErr w:type="spellEnd"/>
            <w:r>
              <w:t xml:space="preserve"> på slimhinder</w:t>
            </w:r>
            <w:r>
              <w:rPr>
                <w:vertAlign w:val="superscript"/>
              </w:rPr>
              <w:t>5</w:t>
            </w:r>
            <w:r w:rsidRPr="00E838B3">
              <w:t xml:space="preserve">, </w:t>
            </w:r>
            <w:r w:rsidRPr="005C7F9A">
              <w:t>subkutan blødning</w:t>
            </w:r>
            <w:r w:rsidRPr="005C7F9A">
              <w:rPr>
                <w:vertAlign w:val="superscript"/>
              </w:rPr>
              <w:t>5</w:t>
            </w:r>
          </w:p>
        </w:tc>
      </w:tr>
    </w:tbl>
    <w:p w14:paraId="0FBE035F" w14:textId="77777777" w:rsidR="00A54217" w:rsidRDefault="00A54217" w:rsidP="00A54217">
      <w:pPr>
        <w:ind w:left="567" w:hanging="567"/>
        <w:rPr>
          <w:sz w:val="20"/>
          <w:vertAlign w:val="superscript"/>
        </w:rPr>
      </w:pPr>
    </w:p>
    <w:p w14:paraId="07940E09" w14:textId="77777777" w:rsidR="00A54217" w:rsidRPr="00FC73EF" w:rsidRDefault="00A54217" w:rsidP="00A54217">
      <w:pPr>
        <w:ind w:left="567" w:firstLine="284"/>
        <w:rPr>
          <w:rFonts w:eastAsia="Calibri"/>
          <w:sz w:val="20"/>
        </w:rPr>
      </w:pPr>
      <w:r w:rsidRPr="00FC73EF">
        <w:rPr>
          <w:sz w:val="20"/>
          <w:vertAlign w:val="superscript"/>
        </w:rPr>
        <w:t>1</w:t>
      </w:r>
      <w:r w:rsidRPr="00FC73EF">
        <w:rPr>
          <w:rFonts w:eastAsia="Calibri"/>
          <w:sz w:val="20"/>
        </w:rPr>
        <w:tab/>
        <w:t>Denne virkning er</w:t>
      </w:r>
      <w:r w:rsidRPr="00FC73EF">
        <w:t xml:space="preserve"> </w:t>
      </w:r>
      <w:r w:rsidRPr="00FC73EF">
        <w:rPr>
          <w:rFonts w:eastAsia="Calibri"/>
          <w:sz w:val="20"/>
        </w:rPr>
        <w:t>dosisafhængig og kan undgås ved at reducere dosis.</w:t>
      </w:r>
    </w:p>
    <w:p w14:paraId="55EB1D6D" w14:textId="77777777" w:rsidR="00A54217" w:rsidRPr="00FC73EF" w:rsidRDefault="00A54217" w:rsidP="00A54217">
      <w:pPr>
        <w:ind w:left="567" w:firstLine="284"/>
        <w:rPr>
          <w:rFonts w:eastAsia="Calibri"/>
          <w:sz w:val="20"/>
        </w:rPr>
      </w:pPr>
      <w:r w:rsidRPr="00FC73EF">
        <w:rPr>
          <w:rFonts w:eastAsia="Calibri"/>
          <w:sz w:val="20"/>
          <w:vertAlign w:val="superscript"/>
        </w:rPr>
        <w:t>2</w:t>
      </w:r>
      <w:r w:rsidRPr="00FC73EF">
        <w:rPr>
          <w:rFonts w:eastAsia="Calibri"/>
          <w:sz w:val="20"/>
        </w:rPr>
        <w:tab/>
        <w:t>Forbigående</w:t>
      </w:r>
    </w:p>
    <w:p w14:paraId="37D4B43E" w14:textId="77777777" w:rsidR="00A54217" w:rsidRPr="00FC73EF" w:rsidRDefault="00A54217" w:rsidP="00A54217">
      <w:pPr>
        <w:ind w:left="567" w:firstLine="284"/>
        <w:rPr>
          <w:rFonts w:eastAsia="Calibri"/>
          <w:sz w:val="20"/>
        </w:rPr>
      </w:pPr>
      <w:r w:rsidRPr="00FC73EF">
        <w:rPr>
          <w:rFonts w:eastAsia="Calibri"/>
          <w:sz w:val="20"/>
          <w:vertAlign w:val="superscript"/>
        </w:rPr>
        <w:t>3</w:t>
      </w:r>
      <w:r w:rsidRPr="00FC73EF">
        <w:rPr>
          <w:rFonts w:eastAsia="Calibri"/>
          <w:sz w:val="20"/>
          <w:vertAlign w:val="superscript"/>
        </w:rPr>
        <w:tab/>
      </w:r>
      <w:r w:rsidRPr="00FC73EF">
        <w:rPr>
          <w:rFonts w:eastAsia="Calibri"/>
          <w:sz w:val="20"/>
        </w:rPr>
        <w:t>Forårsaget af en</w:t>
      </w:r>
      <w:r>
        <w:rPr>
          <w:rFonts w:eastAsia="Calibri"/>
          <w:sz w:val="20"/>
        </w:rPr>
        <w:t xml:space="preserve"> let</w:t>
      </w:r>
      <w:r w:rsidRPr="00FC73EF">
        <w:t xml:space="preserve"> </w:t>
      </w:r>
      <w:r w:rsidRPr="00FC73EF">
        <w:rPr>
          <w:rFonts w:eastAsia="Calibri"/>
          <w:sz w:val="20"/>
        </w:rPr>
        <w:t xml:space="preserve">positiv </w:t>
      </w:r>
      <w:proofErr w:type="spellStart"/>
      <w:r w:rsidRPr="00FC73EF">
        <w:rPr>
          <w:rFonts w:eastAsia="Calibri"/>
          <w:sz w:val="20"/>
        </w:rPr>
        <w:t>kronotrop</w:t>
      </w:r>
      <w:proofErr w:type="spellEnd"/>
      <w:r w:rsidRPr="00FC73EF">
        <w:rPr>
          <w:rFonts w:eastAsia="Calibri"/>
          <w:sz w:val="20"/>
        </w:rPr>
        <w:t xml:space="preserve"> </w:t>
      </w:r>
      <w:r>
        <w:rPr>
          <w:rFonts w:eastAsia="Calibri"/>
          <w:sz w:val="20"/>
        </w:rPr>
        <w:t>virkning</w:t>
      </w:r>
      <w:r w:rsidRPr="00FC73EF">
        <w:rPr>
          <w:rFonts w:eastAsia="Calibri"/>
          <w:sz w:val="20"/>
        </w:rPr>
        <w:t>.</w:t>
      </w:r>
    </w:p>
    <w:p w14:paraId="76137999" w14:textId="77777777" w:rsidR="00A54217" w:rsidRPr="00FC73EF" w:rsidRDefault="00A54217" w:rsidP="00A54217">
      <w:pPr>
        <w:ind w:left="567" w:firstLine="284"/>
        <w:rPr>
          <w:sz w:val="20"/>
        </w:rPr>
      </w:pPr>
      <w:r w:rsidRPr="00FC73EF">
        <w:rPr>
          <w:rFonts w:eastAsia="Calibri"/>
          <w:sz w:val="20"/>
          <w:vertAlign w:val="superscript"/>
        </w:rPr>
        <w:t>4</w:t>
      </w:r>
      <w:r w:rsidRPr="00FC73EF">
        <w:rPr>
          <w:rFonts w:eastAsia="Calibri"/>
          <w:sz w:val="20"/>
        </w:rPr>
        <w:tab/>
        <w:t xml:space="preserve">Observeret under kronisk </w:t>
      </w:r>
      <w:proofErr w:type="spellStart"/>
      <w:r w:rsidRPr="00FC73EF">
        <w:rPr>
          <w:rFonts w:eastAsia="Calibri"/>
          <w:sz w:val="20"/>
        </w:rPr>
        <w:t>pimobendan</w:t>
      </w:r>
      <w:proofErr w:type="spellEnd"/>
      <w:r w:rsidRPr="00FC73EF">
        <w:rPr>
          <w:rFonts w:eastAsia="Calibri"/>
          <w:sz w:val="20"/>
        </w:rPr>
        <w:t xml:space="preserve">-behandling hos hunde med </w:t>
      </w:r>
      <w:proofErr w:type="spellStart"/>
      <w:r w:rsidRPr="00FC73EF">
        <w:rPr>
          <w:rFonts w:eastAsia="Calibri"/>
          <w:sz w:val="20"/>
        </w:rPr>
        <w:t>mitralklaps</w:t>
      </w:r>
      <w:r>
        <w:rPr>
          <w:rFonts w:eastAsia="Calibri"/>
          <w:sz w:val="20"/>
        </w:rPr>
        <w:t>y</w:t>
      </w:r>
      <w:r w:rsidRPr="00FC73EF">
        <w:rPr>
          <w:rFonts w:eastAsia="Calibri"/>
          <w:sz w:val="20"/>
        </w:rPr>
        <w:t>gdom</w:t>
      </w:r>
      <w:proofErr w:type="spellEnd"/>
      <w:r w:rsidRPr="00FC73EF">
        <w:rPr>
          <w:sz w:val="20"/>
        </w:rPr>
        <w:t>.</w:t>
      </w:r>
    </w:p>
    <w:p w14:paraId="642CE2EF" w14:textId="77777777" w:rsidR="00A54217" w:rsidRPr="00AA47B4" w:rsidRDefault="00A54217" w:rsidP="00A54217">
      <w:pPr>
        <w:ind w:left="567" w:firstLine="284"/>
        <w:rPr>
          <w:rFonts w:eastAsia="Calibri"/>
          <w:sz w:val="20"/>
        </w:rPr>
      </w:pPr>
      <w:r w:rsidRPr="00AA47B4">
        <w:rPr>
          <w:sz w:val="20"/>
          <w:vertAlign w:val="superscript"/>
        </w:rPr>
        <w:t>5</w:t>
      </w:r>
      <w:r w:rsidRPr="00AA47B4">
        <w:rPr>
          <w:sz w:val="20"/>
        </w:rPr>
        <w:tab/>
        <w:t xml:space="preserve">Sammenhæng med </w:t>
      </w:r>
      <w:proofErr w:type="spellStart"/>
      <w:r w:rsidRPr="00AA47B4">
        <w:rPr>
          <w:sz w:val="20"/>
        </w:rPr>
        <w:t>pimobendan</w:t>
      </w:r>
      <w:proofErr w:type="spellEnd"/>
      <w:r w:rsidRPr="00AA47B4">
        <w:rPr>
          <w:sz w:val="20"/>
        </w:rPr>
        <w:t xml:space="preserve"> er ikke klart fastslået, tegnene</w:t>
      </w:r>
      <w:r>
        <w:rPr>
          <w:sz w:val="20"/>
        </w:rPr>
        <w:t xml:space="preserve"> forsvinder når behandlingen afbrydes</w:t>
      </w:r>
      <w:r w:rsidRPr="00AA47B4">
        <w:rPr>
          <w:sz w:val="20"/>
        </w:rPr>
        <w:t>.</w:t>
      </w:r>
    </w:p>
    <w:p w14:paraId="290ACA82" w14:textId="77777777" w:rsidR="00A54217" w:rsidRPr="00AA47B4" w:rsidRDefault="00A54217" w:rsidP="00A54217">
      <w:pPr>
        <w:rPr>
          <w:szCs w:val="22"/>
        </w:rPr>
      </w:pPr>
    </w:p>
    <w:p w14:paraId="1E07B558" w14:textId="77777777" w:rsidR="00A54217" w:rsidRDefault="00A54217" w:rsidP="00A54217">
      <w:pPr>
        <w:ind w:left="851"/>
      </w:pPr>
      <w:r w:rsidRPr="00F260F0">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r w:rsidRPr="00FC73EF">
        <w:t>Se indlægssedlen for de relevante kontaktoplysninger.</w:t>
      </w:r>
    </w:p>
    <w:p w14:paraId="28C4BBD3" w14:textId="77777777" w:rsidR="00A54217" w:rsidRPr="00371B54" w:rsidRDefault="00A54217" w:rsidP="00A54217">
      <w:pPr>
        <w:rPr>
          <w:szCs w:val="22"/>
        </w:rPr>
      </w:pPr>
      <w:r>
        <w:tab/>
      </w:r>
      <w:bookmarkEnd w:id="2"/>
    </w:p>
    <w:p w14:paraId="1E6652BD" w14:textId="77777777" w:rsidR="00A54217" w:rsidRPr="00F260F0" w:rsidRDefault="00A54217" w:rsidP="00A54217">
      <w:pPr>
        <w:pStyle w:val="Style1"/>
        <w:ind w:left="851" w:hanging="851"/>
      </w:pPr>
      <w:r w:rsidRPr="00F260F0">
        <w:t>3.7</w:t>
      </w:r>
      <w:r w:rsidRPr="00F260F0">
        <w:tab/>
        <w:t>Anvendelse under drægtighed, laktation eller æglægning</w:t>
      </w:r>
    </w:p>
    <w:p w14:paraId="5680E244" w14:textId="77777777" w:rsidR="00A54217" w:rsidRPr="00F260F0" w:rsidRDefault="00A54217" w:rsidP="00A54217">
      <w:pPr>
        <w:rPr>
          <w:szCs w:val="22"/>
        </w:rPr>
      </w:pPr>
    </w:p>
    <w:p w14:paraId="29754117" w14:textId="77777777" w:rsidR="00A54217" w:rsidRPr="001F2652" w:rsidRDefault="00A54217" w:rsidP="00A54217">
      <w:pPr>
        <w:ind w:firstLine="851"/>
        <w:rPr>
          <w:szCs w:val="22"/>
        </w:rPr>
      </w:pPr>
      <w:r w:rsidRPr="001F2652">
        <w:rPr>
          <w:szCs w:val="22"/>
          <w:u w:val="single"/>
        </w:rPr>
        <w:t>Drægtighe</w:t>
      </w:r>
      <w:r>
        <w:rPr>
          <w:szCs w:val="22"/>
          <w:u w:val="single"/>
        </w:rPr>
        <w:t xml:space="preserve">d </w:t>
      </w:r>
      <w:r w:rsidRPr="001F2652">
        <w:rPr>
          <w:u w:val="single"/>
        </w:rPr>
        <w:t>og diegivning</w:t>
      </w:r>
      <w:r w:rsidRPr="001F2652">
        <w:t>:</w:t>
      </w:r>
    </w:p>
    <w:p w14:paraId="124EE8E6" w14:textId="77777777" w:rsidR="00A54217" w:rsidRPr="001F2652" w:rsidRDefault="00A54217" w:rsidP="00A54217">
      <w:pPr>
        <w:ind w:left="851"/>
        <w:rPr>
          <w:szCs w:val="22"/>
        </w:rPr>
      </w:pPr>
      <w:r w:rsidRPr="00AA47B4">
        <w:rPr>
          <w:szCs w:val="22"/>
        </w:rPr>
        <w:t xml:space="preserve">Laboratorieundersøgelser af rotter og kaniner har ikke afsløret </w:t>
      </w:r>
      <w:proofErr w:type="spellStart"/>
      <w:r w:rsidRPr="00AA47B4">
        <w:rPr>
          <w:szCs w:val="22"/>
        </w:rPr>
        <w:t>teratogene</w:t>
      </w:r>
      <w:proofErr w:type="spellEnd"/>
      <w:r w:rsidRPr="00AA47B4">
        <w:rPr>
          <w:szCs w:val="22"/>
        </w:rPr>
        <w:t xml:space="preserve"> </w:t>
      </w:r>
      <w:r>
        <w:rPr>
          <w:szCs w:val="22"/>
        </w:rPr>
        <w:t xml:space="preserve">eller </w:t>
      </w:r>
      <w:proofErr w:type="spellStart"/>
      <w:r>
        <w:rPr>
          <w:szCs w:val="22"/>
        </w:rPr>
        <w:t>føtotoksiske</w:t>
      </w:r>
      <w:proofErr w:type="spellEnd"/>
      <w:r>
        <w:rPr>
          <w:szCs w:val="22"/>
        </w:rPr>
        <w:t xml:space="preserve"> </w:t>
      </w:r>
      <w:r w:rsidRPr="00AA47B4">
        <w:rPr>
          <w:szCs w:val="22"/>
        </w:rPr>
        <w:t xml:space="preserve">virkninger. Imidlertid har disse undersøgelser vist tegn på </w:t>
      </w:r>
      <w:proofErr w:type="spellStart"/>
      <w:r>
        <w:rPr>
          <w:szCs w:val="22"/>
        </w:rPr>
        <w:t>materno</w:t>
      </w:r>
      <w:r w:rsidRPr="00AA47B4">
        <w:rPr>
          <w:szCs w:val="22"/>
        </w:rPr>
        <w:t>toksi</w:t>
      </w:r>
      <w:r>
        <w:rPr>
          <w:szCs w:val="22"/>
        </w:rPr>
        <w:t>ske</w:t>
      </w:r>
      <w:proofErr w:type="spellEnd"/>
      <w:r w:rsidRPr="00AA47B4">
        <w:rPr>
          <w:szCs w:val="22"/>
        </w:rPr>
        <w:t xml:space="preserve"> og embryotoksiske virkninger ved høje doser. Derudover har undersøgelserne vist, at </w:t>
      </w:r>
      <w:proofErr w:type="spellStart"/>
      <w:r w:rsidRPr="00AA47B4">
        <w:rPr>
          <w:szCs w:val="22"/>
        </w:rPr>
        <w:t>pimobendan</w:t>
      </w:r>
      <w:proofErr w:type="spellEnd"/>
      <w:r w:rsidRPr="00AA47B4">
        <w:rPr>
          <w:szCs w:val="22"/>
        </w:rPr>
        <w:t xml:space="preserve"> udskilles i mælken. Sikkerheden af </w:t>
      </w:r>
      <w:r>
        <w:rPr>
          <w:szCs w:val="22"/>
        </w:rPr>
        <w:t>veterinærlægemidlet</w:t>
      </w:r>
      <w:r w:rsidRPr="00AA47B4">
        <w:rPr>
          <w:szCs w:val="22"/>
        </w:rPr>
        <w:t xml:space="preserve"> er ikke </w:t>
      </w:r>
      <w:r>
        <w:rPr>
          <w:szCs w:val="22"/>
        </w:rPr>
        <w:t xml:space="preserve">fastslået under drægtighed og diegivning </w:t>
      </w:r>
      <w:r>
        <w:rPr>
          <w:szCs w:val="22"/>
        </w:rPr>
        <w:lastRenderedPageBreak/>
        <w:t>hos tæver</w:t>
      </w:r>
      <w:r w:rsidRPr="00AA47B4">
        <w:rPr>
          <w:szCs w:val="22"/>
        </w:rPr>
        <w:t xml:space="preserve">. </w:t>
      </w:r>
      <w:r w:rsidRPr="001F2652">
        <w:t>Må kun anvendes i overensstemmelse med den ansvarlige dyrlæges vurdering af benefit/</w:t>
      </w:r>
      <w:proofErr w:type="spellStart"/>
      <w:r w:rsidRPr="001F2652">
        <w:t>risk</w:t>
      </w:r>
      <w:proofErr w:type="spellEnd"/>
      <w:r w:rsidRPr="001F2652">
        <w:t>-forholdet.</w:t>
      </w:r>
    </w:p>
    <w:p w14:paraId="7849755A" w14:textId="77777777" w:rsidR="00A54217" w:rsidRDefault="00A54217" w:rsidP="00A54217"/>
    <w:p w14:paraId="3527E792" w14:textId="77777777" w:rsidR="00A54217" w:rsidRPr="00F260F0" w:rsidRDefault="00A54217" w:rsidP="00A54217">
      <w:pPr>
        <w:pStyle w:val="Style1"/>
        <w:ind w:left="851" w:hanging="851"/>
      </w:pPr>
      <w:r w:rsidRPr="00F260F0">
        <w:t>3.8</w:t>
      </w:r>
      <w:r w:rsidRPr="00F260F0">
        <w:tab/>
        <w:t>Interaktion med andre lægemidler og andre former for interaktion</w:t>
      </w:r>
    </w:p>
    <w:p w14:paraId="56EB98D7" w14:textId="77777777" w:rsidR="00A54217" w:rsidRPr="00F260F0" w:rsidRDefault="00A54217" w:rsidP="00A54217">
      <w:pPr>
        <w:rPr>
          <w:szCs w:val="22"/>
        </w:rPr>
      </w:pPr>
    </w:p>
    <w:p w14:paraId="275350EA" w14:textId="77777777" w:rsidR="00A54217" w:rsidRDefault="00A54217" w:rsidP="00A54217">
      <w:pPr>
        <w:ind w:left="851"/>
      </w:pPr>
      <w:r w:rsidRPr="00194D9C">
        <w:t>I farmakologiske studier s</w:t>
      </w:r>
      <w:r>
        <w:t>å</w:t>
      </w:r>
      <w:r w:rsidRPr="00194D9C">
        <w:t xml:space="preserve">s ingen interaktion mellem </w:t>
      </w:r>
      <w:proofErr w:type="spellStart"/>
      <w:r w:rsidRPr="00194D9C">
        <w:t>hjerteglycosidet</w:t>
      </w:r>
      <w:proofErr w:type="spellEnd"/>
      <w:r w:rsidRPr="00194D9C">
        <w:t xml:space="preserve"> </w:t>
      </w:r>
      <w:proofErr w:type="spellStart"/>
      <w:r w:rsidRPr="00194D9C">
        <w:t>ouabain</w:t>
      </w:r>
      <w:proofErr w:type="spellEnd"/>
      <w:r w:rsidRPr="00194D9C">
        <w:t xml:space="preserve"> (</w:t>
      </w:r>
      <w:proofErr w:type="spellStart"/>
      <w:r w:rsidRPr="00194D9C">
        <w:t>strofantin</w:t>
      </w:r>
      <w:proofErr w:type="spellEnd"/>
      <w:r w:rsidRPr="00194D9C">
        <w:t xml:space="preserve">) og </w:t>
      </w:r>
      <w:proofErr w:type="spellStart"/>
      <w:r w:rsidRPr="00194D9C">
        <w:t>pimobendan</w:t>
      </w:r>
      <w:proofErr w:type="spellEnd"/>
      <w:r w:rsidRPr="00194D9C">
        <w:t xml:space="preserve">. Den </w:t>
      </w:r>
      <w:proofErr w:type="spellStart"/>
      <w:r w:rsidRPr="00194D9C">
        <w:t>pimobendaninducerede</w:t>
      </w:r>
      <w:proofErr w:type="spellEnd"/>
      <w:r w:rsidRPr="00194D9C">
        <w:t xml:space="preserve"> forbedring af hjertets kontraktionsevne svækkes ved brug af calciumantagonisterne </w:t>
      </w:r>
      <w:proofErr w:type="spellStart"/>
      <w:r w:rsidRPr="00194D9C">
        <w:t>verapamil</w:t>
      </w:r>
      <w:proofErr w:type="spellEnd"/>
      <w:r w:rsidRPr="00194D9C">
        <w:t xml:space="preserve"> og </w:t>
      </w:r>
      <w:proofErr w:type="spellStart"/>
      <w:r w:rsidRPr="00194D9C">
        <w:t>diltiazem</w:t>
      </w:r>
      <w:proofErr w:type="spellEnd"/>
      <w:r w:rsidRPr="00194D9C">
        <w:t xml:space="preserve"> og af </w:t>
      </w:r>
      <w:r>
        <w:rPr>
          <w:lang w:val="sv-SE"/>
        </w:rPr>
        <w:t>β</w:t>
      </w:r>
      <w:r w:rsidRPr="00194D9C">
        <w:t xml:space="preserve">-antagonisten </w:t>
      </w:r>
      <w:proofErr w:type="spellStart"/>
      <w:r w:rsidRPr="00194D9C">
        <w:t>propranolol</w:t>
      </w:r>
      <w:proofErr w:type="spellEnd"/>
      <w:r w:rsidRPr="00194D9C">
        <w:t>.</w:t>
      </w:r>
    </w:p>
    <w:p w14:paraId="4253EE8F" w14:textId="77777777" w:rsidR="00A54217" w:rsidRPr="00F260F0" w:rsidRDefault="00A54217" w:rsidP="00A54217">
      <w:pPr>
        <w:rPr>
          <w:szCs w:val="22"/>
        </w:rPr>
      </w:pPr>
    </w:p>
    <w:p w14:paraId="28F3BDB7" w14:textId="77777777" w:rsidR="00A54217" w:rsidRPr="00F260F0" w:rsidRDefault="00A54217" w:rsidP="00A54217">
      <w:pPr>
        <w:pStyle w:val="Style1"/>
        <w:ind w:left="851" w:hanging="851"/>
      </w:pPr>
      <w:r w:rsidRPr="00F260F0">
        <w:t>3.9</w:t>
      </w:r>
      <w:r w:rsidRPr="00F260F0">
        <w:tab/>
      </w:r>
      <w:r>
        <w:t>Administrations</w:t>
      </w:r>
      <w:r w:rsidRPr="00F260F0">
        <w:t>veje og dosering</w:t>
      </w:r>
    </w:p>
    <w:p w14:paraId="29C1E030" w14:textId="77777777" w:rsidR="00A54217" w:rsidRPr="00F260F0" w:rsidRDefault="00A54217" w:rsidP="00A54217">
      <w:pPr>
        <w:rPr>
          <w:szCs w:val="22"/>
        </w:rPr>
      </w:pPr>
    </w:p>
    <w:p w14:paraId="0DC24897" w14:textId="77777777" w:rsidR="00A54217" w:rsidRDefault="00A54217" w:rsidP="00A54217">
      <w:pPr>
        <w:ind w:firstLine="851"/>
      </w:pPr>
      <w:r>
        <w:t>Oral anvendelse.</w:t>
      </w:r>
    </w:p>
    <w:p w14:paraId="71677057" w14:textId="77777777" w:rsidR="00A54217" w:rsidRDefault="00A54217" w:rsidP="00A54217">
      <w:pPr>
        <w:ind w:firstLine="851"/>
      </w:pPr>
      <w:r>
        <w:t xml:space="preserve">For at sikre korrekt dosering bør legemsvægten bestemmes så nøjagtigt som muligt. </w:t>
      </w:r>
    </w:p>
    <w:p w14:paraId="284DAF3F" w14:textId="77777777" w:rsidR="00A54217" w:rsidRDefault="00A54217" w:rsidP="00A54217">
      <w:pPr>
        <w:ind w:left="851"/>
      </w:pPr>
      <w:r>
        <w:t xml:space="preserve">Dosering inden for intervallet 0,2 mg til 0,6 mg </w:t>
      </w:r>
      <w:proofErr w:type="spellStart"/>
      <w:r>
        <w:t>pimobendan</w:t>
      </w:r>
      <w:proofErr w:type="spellEnd"/>
      <w:r>
        <w:t xml:space="preserve">/kg legemsvægt, fordelt på to daglige doser, bør overholdes. </w:t>
      </w:r>
    </w:p>
    <w:p w14:paraId="4748BE41" w14:textId="77777777" w:rsidR="00A54217" w:rsidRDefault="00A54217" w:rsidP="00A54217">
      <w:pPr>
        <w:ind w:left="851"/>
      </w:pPr>
      <w:r>
        <w:t xml:space="preserve">Den foretrukne daglige dosering er 0,5 mg </w:t>
      </w:r>
      <w:proofErr w:type="spellStart"/>
      <w:r>
        <w:t>pimobendan</w:t>
      </w:r>
      <w:proofErr w:type="spellEnd"/>
      <w:r>
        <w:t xml:space="preserve">/kg legemsvægt fordelt på to daglige doser </w:t>
      </w:r>
      <w:r w:rsidRPr="001A2264">
        <w:t>(på 0,25 mg/kg legemsvægt hver)</w:t>
      </w:r>
      <w:r>
        <w:t xml:space="preserve"> </w:t>
      </w:r>
      <w:r w:rsidRPr="001A2264">
        <w:t>med ca. 12 timers mellemrum</w:t>
      </w:r>
      <w:r>
        <w:t>.</w:t>
      </w:r>
    </w:p>
    <w:p w14:paraId="4CB7B08F" w14:textId="77777777" w:rsidR="00A54217" w:rsidRDefault="00A54217" w:rsidP="00A54217"/>
    <w:p w14:paraId="3DFD3BD6" w14:textId="77777777" w:rsidR="00A54217" w:rsidRDefault="00A54217" w:rsidP="00A54217">
      <w:pPr>
        <w:ind w:left="851"/>
      </w:pPr>
      <w:r>
        <w:t>Ved en legemsvægt på 5 kg svarer dette til én 1,25 mg tyggetablet om morgenen og én 1,25 mg tyggetablet om aftenen.</w:t>
      </w:r>
    </w:p>
    <w:p w14:paraId="36ED4B12" w14:textId="77777777" w:rsidR="00A54217" w:rsidRDefault="00A54217" w:rsidP="00A54217"/>
    <w:p w14:paraId="4865D292" w14:textId="77777777" w:rsidR="00A54217" w:rsidRPr="00AD46D7" w:rsidRDefault="00A54217" w:rsidP="00A54217">
      <w:pPr>
        <w:ind w:left="851"/>
      </w:pPr>
      <w:r w:rsidRPr="00AD46D7">
        <w:t>Ved en legemsvægt på 10 kg svarer dette til én 2,5 mg tyggetablet om morgenen og én 2,5 mg tyggetablet om aftenen.</w:t>
      </w:r>
    </w:p>
    <w:p w14:paraId="054C0D80" w14:textId="77777777" w:rsidR="00A54217" w:rsidRPr="00AD46D7" w:rsidRDefault="00A54217" w:rsidP="00A54217"/>
    <w:p w14:paraId="51AE8E89" w14:textId="77777777" w:rsidR="00A54217" w:rsidRPr="00AD46D7" w:rsidRDefault="00A54217" w:rsidP="00A54217">
      <w:pPr>
        <w:ind w:left="851"/>
      </w:pPr>
      <w:r w:rsidRPr="00AD46D7">
        <w:t>Ved en legemsvægt på 20 kg svarer dette til én 5 mg tyggetablet om morgenen og én 5 mg tyggetablet om aftenen.</w:t>
      </w:r>
    </w:p>
    <w:p w14:paraId="309F0FF6" w14:textId="77777777" w:rsidR="00A54217" w:rsidRPr="00AD46D7" w:rsidRDefault="00A54217" w:rsidP="00A54217"/>
    <w:p w14:paraId="61342350" w14:textId="77777777" w:rsidR="00A54217" w:rsidRDefault="00A54217" w:rsidP="00A54217">
      <w:pPr>
        <w:ind w:left="851"/>
      </w:pPr>
      <w:r w:rsidRPr="00AD46D7">
        <w:t>Ved en legemsvægt på 40 kg svarer dette til én 10 mg tyggetablet om morgenen og én 10 mg tyggetablet om aftenen.</w:t>
      </w:r>
    </w:p>
    <w:p w14:paraId="283B90D3" w14:textId="77777777" w:rsidR="00A54217" w:rsidRPr="005555B1" w:rsidRDefault="00A54217" w:rsidP="00A54217">
      <w:pPr>
        <w:jc w:val="both"/>
        <w:rPr>
          <w:rStyle w:val="Flietext"/>
          <w:szCs w:val="22"/>
          <w:lang w:val="da-DK"/>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045"/>
        <w:gridCol w:w="1045"/>
        <w:gridCol w:w="1046"/>
        <w:gridCol w:w="1045"/>
        <w:gridCol w:w="1045"/>
        <w:gridCol w:w="1046"/>
        <w:gridCol w:w="1045"/>
        <w:gridCol w:w="1750"/>
      </w:tblGrid>
      <w:tr w:rsidR="00A54217" w:rsidRPr="00D5105B" w14:paraId="0A219993" w14:textId="77777777" w:rsidTr="00365332">
        <w:tc>
          <w:tcPr>
            <w:tcW w:w="998" w:type="dxa"/>
            <w:vMerge w:val="restart"/>
            <w:vAlign w:val="center"/>
          </w:tcPr>
          <w:p w14:paraId="102FC38D" w14:textId="77777777" w:rsidR="00A54217" w:rsidRPr="00D5105B" w:rsidRDefault="00A54217" w:rsidP="00AD46D7">
            <w:pPr>
              <w:rPr>
                <w:b/>
                <w:bCs/>
                <w:color w:val="000000"/>
                <w:szCs w:val="22"/>
                <w:lang w:val="en-US"/>
              </w:rPr>
            </w:pPr>
            <w:bookmarkStart w:id="3" w:name="_Hlk142906507"/>
            <w:proofErr w:type="spellStart"/>
            <w:r>
              <w:rPr>
                <w:b/>
                <w:bCs/>
                <w:color w:val="000000"/>
                <w:szCs w:val="22"/>
                <w:lang w:val="en-US"/>
              </w:rPr>
              <w:t>Vægt</w:t>
            </w:r>
            <w:proofErr w:type="spellEnd"/>
          </w:p>
        </w:tc>
        <w:tc>
          <w:tcPr>
            <w:tcW w:w="2090" w:type="dxa"/>
            <w:gridSpan w:val="2"/>
          </w:tcPr>
          <w:p w14:paraId="136DA3FC" w14:textId="77777777" w:rsidR="00A54217" w:rsidRPr="00D5105B" w:rsidRDefault="00A54217" w:rsidP="00AD46D7">
            <w:pPr>
              <w:jc w:val="center"/>
              <w:rPr>
                <w:b/>
                <w:bCs/>
                <w:color w:val="000000"/>
                <w:szCs w:val="22"/>
                <w:lang w:val="en-US"/>
              </w:rPr>
            </w:pPr>
            <w:r w:rsidRPr="00D5105B">
              <w:rPr>
                <w:b/>
                <w:bCs/>
                <w:color w:val="000000"/>
                <w:szCs w:val="22"/>
                <w:lang w:val="en-US"/>
              </w:rPr>
              <w:t>1</w:t>
            </w:r>
            <w:r>
              <w:rPr>
                <w:b/>
                <w:bCs/>
                <w:color w:val="000000"/>
                <w:szCs w:val="22"/>
                <w:lang w:val="en-US"/>
              </w:rPr>
              <w:t>,</w:t>
            </w:r>
            <w:r w:rsidRPr="00D5105B">
              <w:rPr>
                <w:b/>
                <w:bCs/>
                <w:color w:val="000000"/>
                <w:szCs w:val="22"/>
                <w:lang w:val="en-US"/>
              </w:rPr>
              <w:t xml:space="preserve">25 mg </w:t>
            </w:r>
            <w:proofErr w:type="spellStart"/>
            <w:r>
              <w:rPr>
                <w:b/>
                <w:bCs/>
                <w:color w:val="000000"/>
                <w:szCs w:val="22"/>
                <w:lang w:val="en-US"/>
              </w:rPr>
              <w:t>tygge</w:t>
            </w:r>
            <w:r w:rsidRPr="00D5105B">
              <w:rPr>
                <w:b/>
                <w:bCs/>
                <w:color w:val="000000"/>
                <w:szCs w:val="22"/>
                <w:lang w:val="en-US"/>
              </w:rPr>
              <w:t>tablet</w:t>
            </w:r>
            <w:proofErr w:type="spellEnd"/>
          </w:p>
        </w:tc>
        <w:tc>
          <w:tcPr>
            <w:tcW w:w="2091" w:type="dxa"/>
            <w:gridSpan w:val="2"/>
          </w:tcPr>
          <w:p w14:paraId="7038B104" w14:textId="77777777" w:rsidR="00A54217" w:rsidRPr="00D5105B" w:rsidRDefault="00A54217" w:rsidP="00AD46D7">
            <w:pPr>
              <w:jc w:val="center"/>
              <w:rPr>
                <w:b/>
                <w:bCs/>
                <w:color w:val="000000"/>
                <w:szCs w:val="22"/>
                <w:lang w:val="en-US"/>
              </w:rPr>
            </w:pPr>
            <w:r w:rsidRPr="00D5105B">
              <w:rPr>
                <w:b/>
                <w:bCs/>
                <w:color w:val="000000"/>
                <w:szCs w:val="22"/>
                <w:lang w:val="en-US"/>
              </w:rPr>
              <w:t>2</w:t>
            </w:r>
            <w:r>
              <w:rPr>
                <w:b/>
                <w:bCs/>
                <w:color w:val="000000"/>
                <w:szCs w:val="22"/>
                <w:lang w:val="en-US"/>
              </w:rPr>
              <w:t>,</w:t>
            </w:r>
            <w:r w:rsidRPr="00D5105B">
              <w:rPr>
                <w:b/>
                <w:bCs/>
                <w:color w:val="000000"/>
                <w:szCs w:val="22"/>
                <w:lang w:val="en-US"/>
              </w:rPr>
              <w:t xml:space="preserve">5 mg </w:t>
            </w:r>
            <w:proofErr w:type="spellStart"/>
            <w:r>
              <w:rPr>
                <w:b/>
                <w:bCs/>
                <w:color w:val="000000"/>
                <w:szCs w:val="22"/>
                <w:lang w:val="en-US"/>
              </w:rPr>
              <w:t>tygge</w:t>
            </w:r>
            <w:r w:rsidRPr="00D5105B">
              <w:rPr>
                <w:b/>
                <w:bCs/>
                <w:color w:val="000000"/>
                <w:szCs w:val="22"/>
                <w:lang w:val="en-US"/>
              </w:rPr>
              <w:t>tablet</w:t>
            </w:r>
            <w:proofErr w:type="spellEnd"/>
          </w:p>
        </w:tc>
        <w:tc>
          <w:tcPr>
            <w:tcW w:w="2091" w:type="dxa"/>
            <w:gridSpan w:val="2"/>
          </w:tcPr>
          <w:p w14:paraId="49EBE8AE" w14:textId="77777777" w:rsidR="00A54217" w:rsidRPr="00D5105B" w:rsidRDefault="00A54217" w:rsidP="00AD46D7">
            <w:pPr>
              <w:jc w:val="center"/>
              <w:rPr>
                <w:b/>
                <w:bCs/>
                <w:color w:val="000000"/>
                <w:szCs w:val="22"/>
                <w:lang w:val="en-US"/>
              </w:rPr>
            </w:pPr>
            <w:r w:rsidRPr="00D5105B">
              <w:rPr>
                <w:b/>
                <w:bCs/>
                <w:color w:val="000000"/>
                <w:szCs w:val="22"/>
                <w:lang w:val="en-US"/>
              </w:rPr>
              <w:t xml:space="preserve">5 mg </w:t>
            </w:r>
            <w:proofErr w:type="spellStart"/>
            <w:r>
              <w:rPr>
                <w:b/>
                <w:bCs/>
                <w:color w:val="000000"/>
                <w:szCs w:val="22"/>
                <w:lang w:val="en-US"/>
              </w:rPr>
              <w:t>tygge</w:t>
            </w:r>
            <w:r w:rsidRPr="00D5105B">
              <w:rPr>
                <w:b/>
                <w:bCs/>
                <w:color w:val="000000"/>
                <w:szCs w:val="22"/>
                <w:lang w:val="en-US"/>
              </w:rPr>
              <w:t>tablet</w:t>
            </w:r>
            <w:proofErr w:type="spellEnd"/>
          </w:p>
        </w:tc>
        <w:tc>
          <w:tcPr>
            <w:tcW w:w="2795" w:type="dxa"/>
            <w:gridSpan w:val="2"/>
          </w:tcPr>
          <w:p w14:paraId="7A4A295C" w14:textId="77777777" w:rsidR="00A54217" w:rsidRPr="00D5105B" w:rsidRDefault="00A54217" w:rsidP="00AD46D7">
            <w:pPr>
              <w:jc w:val="center"/>
              <w:rPr>
                <w:b/>
                <w:bCs/>
                <w:color w:val="000000"/>
                <w:szCs w:val="22"/>
                <w:lang w:val="en-US"/>
              </w:rPr>
            </w:pPr>
            <w:r>
              <w:rPr>
                <w:b/>
                <w:bCs/>
                <w:color w:val="000000"/>
                <w:szCs w:val="22"/>
                <w:lang w:val="en-US"/>
              </w:rPr>
              <w:t>10</w:t>
            </w:r>
            <w:r w:rsidRPr="00D5105B">
              <w:rPr>
                <w:b/>
                <w:bCs/>
                <w:color w:val="000000"/>
                <w:szCs w:val="22"/>
                <w:lang w:val="en-US"/>
              </w:rPr>
              <w:t xml:space="preserve"> mg </w:t>
            </w:r>
            <w:proofErr w:type="spellStart"/>
            <w:r>
              <w:rPr>
                <w:b/>
                <w:bCs/>
                <w:color w:val="000000"/>
                <w:szCs w:val="22"/>
                <w:lang w:val="en-US"/>
              </w:rPr>
              <w:t>tygge</w:t>
            </w:r>
            <w:r w:rsidRPr="00D5105B">
              <w:rPr>
                <w:b/>
                <w:bCs/>
                <w:color w:val="000000"/>
                <w:szCs w:val="22"/>
                <w:lang w:val="en-US"/>
              </w:rPr>
              <w:t>tablet</w:t>
            </w:r>
            <w:proofErr w:type="spellEnd"/>
          </w:p>
        </w:tc>
      </w:tr>
      <w:tr w:rsidR="00A54217" w:rsidRPr="00D5105B" w14:paraId="4C90B0B0" w14:textId="77777777" w:rsidTr="00365332">
        <w:tc>
          <w:tcPr>
            <w:tcW w:w="998" w:type="dxa"/>
            <w:vMerge/>
          </w:tcPr>
          <w:p w14:paraId="460D464A" w14:textId="77777777" w:rsidR="00A54217" w:rsidRPr="00D5105B" w:rsidRDefault="00A54217" w:rsidP="00AD46D7">
            <w:pPr>
              <w:rPr>
                <w:b/>
                <w:bCs/>
                <w:color w:val="000000"/>
                <w:szCs w:val="22"/>
                <w:u w:val="single"/>
                <w:lang w:val="en-US"/>
              </w:rPr>
            </w:pPr>
          </w:p>
        </w:tc>
        <w:tc>
          <w:tcPr>
            <w:tcW w:w="1045" w:type="dxa"/>
          </w:tcPr>
          <w:p w14:paraId="064E4CF8" w14:textId="77777777" w:rsidR="00A54217" w:rsidRPr="00D5105B" w:rsidRDefault="00A54217" w:rsidP="00AD46D7">
            <w:pPr>
              <w:rPr>
                <w:color w:val="000000"/>
                <w:szCs w:val="22"/>
                <w:lang w:val="en-US"/>
              </w:rPr>
            </w:pPr>
            <w:r w:rsidRPr="00D5105B">
              <w:rPr>
                <w:color w:val="000000"/>
                <w:szCs w:val="22"/>
                <w:lang w:val="en-US"/>
              </w:rPr>
              <w:t>Mor</w:t>
            </w:r>
            <w:r>
              <w:rPr>
                <w:color w:val="000000"/>
                <w:szCs w:val="22"/>
                <w:lang w:val="en-US"/>
              </w:rPr>
              <w:t>gen</w:t>
            </w:r>
            <w:r w:rsidRPr="00D5105B">
              <w:rPr>
                <w:color w:val="000000"/>
                <w:szCs w:val="22"/>
                <w:lang w:val="en-US"/>
              </w:rPr>
              <w:t xml:space="preserve"> </w:t>
            </w:r>
          </w:p>
        </w:tc>
        <w:tc>
          <w:tcPr>
            <w:tcW w:w="1045" w:type="dxa"/>
          </w:tcPr>
          <w:p w14:paraId="04EB6F88" w14:textId="77777777" w:rsidR="00A54217" w:rsidRPr="00D5105B" w:rsidRDefault="00A54217" w:rsidP="00AD46D7">
            <w:pPr>
              <w:rPr>
                <w:color w:val="000000"/>
                <w:szCs w:val="22"/>
                <w:lang w:val="en-US"/>
              </w:rPr>
            </w:pPr>
            <w:proofErr w:type="spellStart"/>
            <w:r>
              <w:rPr>
                <w:color w:val="000000"/>
                <w:szCs w:val="22"/>
                <w:lang w:val="en-US"/>
              </w:rPr>
              <w:t>Aften</w:t>
            </w:r>
            <w:proofErr w:type="spellEnd"/>
          </w:p>
        </w:tc>
        <w:tc>
          <w:tcPr>
            <w:tcW w:w="1046" w:type="dxa"/>
          </w:tcPr>
          <w:p w14:paraId="5722790A" w14:textId="77777777" w:rsidR="00A54217" w:rsidRPr="00D5105B" w:rsidRDefault="00A54217" w:rsidP="00AD46D7">
            <w:pPr>
              <w:rPr>
                <w:color w:val="000000"/>
                <w:szCs w:val="22"/>
                <w:lang w:val="en-US"/>
              </w:rPr>
            </w:pPr>
            <w:r w:rsidRPr="00D5105B">
              <w:rPr>
                <w:color w:val="000000"/>
                <w:szCs w:val="22"/>
                <w:lang w:val="en-US"/>
              </w:rPr>
              <w:t>Mor</w:t>
            </w:r>
            <w:r>
              <w:rPr>
                <w:color w:val="000000"/>
                <w:szCs w:val="22"/>
                <w:lang w:val="en-US"/>
              </w:rPr>
              <w:t>gen</w:t>
            </w:r>
            <w:r w:rsidRPr="00D5105B">
              <w:rPr>
                <w:color w:val="000000"/>
                <w:szCs w:val="22"/>
                <w:lang w:val="en-US"/>
              </w:rPr>
              <w:t xml:space="preserve"> </w:t>
            </w:r>
          </w:p>
        </w:tc>
        <w:tc>
          <w:tcPr>
            <w:tcW w:w="1045" w:type="dxa"/>
          </w:tcPr>
          <w:p w14:paraId="608A5D28" w14:textId="77777777" w:rsidR="00A54217" w:rsidRPr="00D5105B" w:rsidRDefault="00A54217" w:rsidP="00AD46D7">
            <w:pPr>
              <w:rPr>
                <w:color w:val="000000"/>
                <w:szCs w:val="22"/>
                <w:lang w:val="en-US"/>
              </w:rPr>
            </w:pPr>
            <w:proofErr w:type="spellStart"/>
            <w:r>
              <w:rPr>
                <w:color w:val="000000"/>
                <w:szCs w:val="22"/>
                <w:lang w:val="en-US"/>
              </w:rPr>
              <w:t>Aften</w:t>
            </w:r>
            <w:proofErr w:type="spellEnd"/>
          </w:p>
        </w:tc>
        <w:tc>
          <w:tcPr>
            <w:tcW w:w="1045" w:type="dxa"/>
          </w:tcPr>
          <w:p w14:paraId="3724B048" w14:textId="77777777" w:rsidR="00A54217" w:rsidRPr="00D5105B" w:rsidRDefault="00A54217" w:rsidP="00AD46D7">
            <w:pPr>
              <w:rPr>
                <w:color w:val="000000"/>
                <w:szCs w:val="22"/>
                <w:lang w:val="en-US"/>
              </w:rPr>
            </w:pPr>
            <w:r w:rsidRPr="00D5105B">
              <w:rPr>
                <w:color w:val="000000"/>
                <w:szCs w:val="22"/>
                <w:lang w:val="en-US"/>
              </w:rPr>
              <w:t>Mor</w:t>
            </w:r>
            <w:r>
              <w:rPr>
                <w:color w:val="000000"/>
                <w:szCs w:val="22"/>
                <w:lang w:val="en-US"/>
              </w:rPr>
              <w:t>gen</w:t>
            </w:r>
            <w:r w:rsidRPr="00D5105B">
              <w:rPr>
                <w:color w:val="000000"/>
                <w:szCs w:val="22"/>
                <w:lang w:val="en-US"/>
              </w:rPr>
              <w:t xml:space="preserve"> </w:t>
            </w:r>
          </w:p>
        </w:tc>
        <w:tc>
          <w:tcPr>
            <w:tcW w:w="1046" w:type="dxa"/>
          </w:tcPr>
          <w:p w14:paraId="158B9173" w14:textId="77777777" w:rsidR="00A54217" w:rsidRPr="00D5105B" w:rsidRDefault="00A54217" w:rsidP="00AD46D7">
            <w:pPr>
              <w:rPr>
                <w:color w:val="000000"/>
                <w:szCs w:val="22"/>
                <w:lang w:val="en-US"/>
              </w:rPr>
            </w:pPr>
            <w:proofErr w:type="spellStart"/>
            <w:r>
              <w:rPr>
                <w:color w:val="000000"/>
                <w:szCs w:val="22"/>
                <w:lang w:val="en-US"/>
              </w:rPr>
              <w:t>Aften</w:t>
            </w:r>
            <w:proofErr w:type="spellEnd"/>
          </w:p>
        </w:tc>
        <w:tc>
          <w:tcPr>
            <w:tcW w:w="1045" w:type="dxa"/>
          </w:tcPr>
          <w:p w14:paraId="2657B3B5" w14:textId="77777777" w:rsidR="00A54217" w:rsidRPr="00D5105B" w:rsidRDefault="00A54217" w:rsidP="00AD46D7">
            <w:pPr>
              <w:rPr>
                <w:color w:val="000000"/>
                <w:szCs w:val="22"/>
                <w:lang w:val="en-US"/>
              </w:rPr>
            </w:pPr>
            <w:r w:rsidRPr="00D5105B">
              <w:rPr>
                <w:color w:val="000000"/>
                <w:szCs w:val="22"/>
                <w:lang w:val="en-US"/>
              </w:rPr>
              <w:t>Mor</w:t>
            </w:r>
            <w:r>
              <w:rPr>
                <w:color w:val="000000"/>
                <w:szCs w:val="22"/>
                <w:lang w:val="en-US"/>
              </w:rPr>
              <w:t>gen</w:t>
            </w:r>
            <w:r w:rsidRPr="00D5105B">
              <w:rPr>
                <w:color w:val="000000"/>
                <w:szCs w:val="22"/>
                <w:lang w:val="en-US"/>
              </w:rPr>
              <w:t xml:space="preserve"> </w:t>
            </w:r>
          </w:p>
        </w:tc>
        <w:tc>
          <w:tcPr>
            <w:tcW w:w="1750" w:type="dxa"/>
          </w:tcPr>
          <w:p w14:paraId="0D95F2CF" w14:textId="77777777" w:rsidR="00A54217" w:rsidRPr="00D5105B" w:rsidRDefault="00A54217" w:rsidP="00AD46D7">
            <w:pPr>
              <w:rPr>
                <w:color w:val="000000"/>
                <w:szCs w:val="22"/>
                <w:lang w:val="en-US"/>
              </w:rPr>
            </w:pPr>
            <w:proofErr w:type="spellStart"/>
            <w:r>
              <w:rPr>
                <w:color w:val="000000"/>
                <w:szCs w:val="22"/>
                <w:lang w:val="en-US"/>
              </w:rPr>
              <w:t>Aften</w:t>
            </w:r>
            <w:proofErr w:type="spellEnd"/>
          </w:p>
        </w:tc>
      </w:tr>
      <w:tr w:rsidR="00A54217" w:rsidRPr="00D5105B" w14:paraId="71AD3A2F" w14:textId="77777777" w:rsidTr="00365332">
        <w:tc>
          <w:tcPr>
            <w:tcW w:w="998" w:type="dxa"/>
          </w:tcPr>
          <w:p w14:paraId="65D72055" w14:textId="77777777" w:rsidR="00A54217" w:rsidRPr="00D5105B" w:rsidRDefault="00A54217" w:rsidP="00AD46D7">
            <w:pPr>
              <w:rPr>
                <w:color w:val="000000"/>
                <w:szCs w:val="22"/>
                <w:lang w:val="en-US"/>
              </w:rPr>
            </w:pPr>
            <w:r w:rsidRPr="00D5105B">
              <w:rPr>
                <w:color w:val="000000"/>
                <w:szCs w:val="22"/>
                <w:lang w:val="en-US"/>
              </w:rPr>
              <w:t>5 kg</w:t>
            </w:r>
          </w:p>
        </w:tc>
        <w:tc>
          <w:tcPr>
            <w:tcW w:w="1045" w:type="dxa"/>
          </w:tcPr>
          <w:p w14:paraId="09005943" w14:textId="77777777" w:rsidR="00A54217" w:rsidRPr="00D5105B" w:rsidRDefault="00A54217" w:rsidP="00AD46D7">
            <w:pPr>
              <w:rPr>
                <w:color w:val="000000"/>
                <w:szCs w:val="22"/>
                <w:lang w:val="en-US"/>
              </w:rPr>
            </w:pPr>
            <w:r w:rsidRPr="00D5105B">
              <w:rPr>
                <w:color w:val="000000"/>
                <w:szCs w:val="22"/>
                <w:lang w:val="en-US"/>
              </w:rPr>
              <w:t>1</w:t>
            </w:r>
          </w:p>
        </w:tc>
        <w:tc>
          <w:tcPr>
            <w:tcW w:w="1045" w:type="dxa"/>
          </w:tcPr>
          <w:p w14:paraId="6D6D26E5" w14:textId="77777777" w:rsidR="00A54217" w:rsidRPr="00D5105B" w:rsidRDefault="00A54217" w:rsidP="00AD46D7">
            <w:pPr>
              <w:rPr>
                <w:color w:val="000000"/>
                <w:szCs w:val="22"/>
                <w:lang w:val="en-US"/>
              </w:rPr>
            </w:pPr>
            <w:r w:rsidRPr="00D5105B">
              <w:rPr>
                <w:color w:val="000000"/>
                <w:szCs w:val="22"/>
                <w:lang w:val="en-US"/>
              </w:rPr>
              <w:t>1</w:t>
            </w:r>
          </w:p>
        </w:tc>
        <w:tc>
          <w:tcPr>
            <w:tcW w:w="1046" w:type="dxa"/>
          </w:tcPr>
          <w:p w14:paraId="0F7A0AF1" w14:textId="77777777" w:rsidR="00A54217" w:rsidRPr="00D5105B" w:rsidRDefault="00A54217" w:rsidP="00AD46D7">
            <w:pPr>
              <w:rPr>
                <w:color w:val="000000"/>
                <w:szCs w:val="22"/>
                <w:lang w:val="en-US"/>
              </w:rPr>
            </w:pPr>
          </w:p>
        </w:tc>
        <w:tc>
          <w:tcPr>
            <w:tcW w:w="1045" w:type="dxa"/>
          </w:tcPr>
          <w:p w14:paraId="58027AD1" w14:textId="77777777" w:rsidR="00A54217" w:rsidRPr="00D5105B" w:rsidRDefault="00A54217" w:rsidP="00AD46D7">
            <w:pPr>
              <w:rPr>
                <w:color w:val="000000"/>
                <w:szCs w:val="22"/>
                <w:lang w:val="en-US"/>
              </w:rPr>
            </w:pPr>
          </w:p>
        </w:tc>
        <w:tc>
          <w:tcPr>
            <w:tcW w:w="1045" w:type="dxa"/>
          </w:tcPr>
          <w:p w14:paraId="722E97C3" w14:textId="77777777" w:rsidR="00A54217" w:rsidRPr="00D5105B" w:rsidRDefault="00A54217" w:rsidP="00AD46D7">
            <w:pPr>
              <w:rPr>
                <w:color w:val="000000"/>
                <w:szCs w:val="22"/>
                <w:lang w:val="en-US"/>
              </w:rPr>
            </w:pPr>
          </w:p>
        </w:tc>
        <w:tc>
          <w:tcPr>
            <w:tcW w:w="1046" w:type="dxa"/>
          </w:tcPr>
          <w:p w14:paraId="00810D01" w14:textId="77777777" w:rsidR="00A54217" w:rsidRPr="00D5105B" w:rsidRDefault="00A54217" w:rsidP="00AD46D7">
            <w:pPr>
              <w:rPr>
                <w:color w:val="000000"/>
                <w:szCs w:val="22"/>
                <w:lang w:val="en-US"/>
              </w:rPr>
            </w:pPr>
          </w:p>
        </w:tc>
        <w:tc>
          <w:tcPr>
            <w:tcW w:w="1045" w:type="dxa"/>
          </w:tcPr>
          <w:p w14:paraId="71DC87E6" w14:textId="77777777" w:rsidR="00A54217" w:rsidRPr="00D5105B" w:rsidRDefault="00A54217" w:rsidP="00AD46D7">
            <w:pPr>
              <w:rPr>
                <w:color w:val="000000"/>
                <w:szCs w:val="22"/>
                <w:lang w:val="en-US"/>
              </w:rPr>
            </w:pPr>
          </w:p>
        </w:tc>
        <w:tc>
          <w:tcPr>
            <w:tcW w:w="1750" w:type="dxa"/>
          </w:tcPr>
          <w:p w14:paraId="345666A9" w14:textId="77777777" w:rsidR="00A54217" w:rsidRPr="00D5105B" w:rsidRDefault="00A54217" w:rsidP="00AD46D7">
            <w:pPr>
              <w:rPr>
                <w:color w:val="000000"/>
                <w:szCs w:val="22"/>
                <w:lang w:val="en-US"/>
              </w:rPr>
            </w:pPr>
          </w:p>
        </w:tc>
      </w:tr>
      <w:tr w:rsidR="00A54217" w:rsidRPr="00D5105B" w14:paraId="56BBAC5C" w14:textId="77777777" w:rsidTr="00365332">
        <w:tc>
          <w:tcPr>
            <w:tcW w:w="998" w:type="dxa"/>
          </w:tcPr>
          <w:p w14:paraId="1D9E0048" w14:textId="77777777" w:rsidR="00A54217" w:rsidRPr="00D5105B" w:rsidRDefault="00A54217" w:rsidP="00AD46D7">
            <w:pPr>
              <w:rPr>
                <w:color w:val="000000"/>
                <w:szCs w:val="22"/>
                <w:lang w:val="en-US"/>
              </w:rPr>
            </w:pPr>
            <w:r w:rsidRPr="00D5105B">
              <w:rPr>
                <w:color w:val="000000"/>
                <w:szCs w:val="22"/>
                <w:lang w:val="en-US"/>
              </w:rPr>
              <w:t>10 kg</w:t>
            </w:r>
          </w:p>
        </w:tc>
        <w:tc>
          <w:tcPr>
            <w:tcW w:w="1045" w:type="dxa"/>
          </w:tcPr>
          <w:p w14:paraId="517D9083" w14:textId="77777777" w:rsidR="00A54217" w:rsidRPr="00D5105B" w:rsidRDefault="00A54217" w:rsidP="00AD46D7">
            <w:pPr>
              <w:rPr>
                <w:color w:val="000000"/>
                <w:szCs w:val="22"/>
                <w:lang w:val="en-US"/>
              </w:rPr>
            </w:pPr>
          </w:p>
        </w:tc>
        <w:tc>
          <w:tcPr>
            <w:tcW w:w="1045" w:type="dxa"/>
          </w:tcPr>
          <w:p w14:paraId="591DE0EF" w14:textId="77777777" w:rsidR="00A54217" w:rsidRPr="00D5105B" w:rsidRDefault="00A54217" w:rsidP="00AD46D7">
            <w:pPr>
              <w:rPr>
                <w:color w:val="000000"/>
                <w:szCs w:val="22"/>
                <w:lang w:val="en-US"/>
              </w:rPr>
            </w:pPr>
          </w:p>
        </w:tc>
        <w:tc>
          <w:tcPr>
            <w:tcW w:w="1046" w:type="dxa"/>
          </w:tcPr>
          <w:p w14:paraId="6A4B0784" w14:textId="77777777" w:rsidR="00A54217" w:rsidRPr="00D5105B" w:rsidRDefault="00A54217" w:rsidP="00AD46D7">
            <w:pPr>
              <w:rPr>
                <w:color w:val="000000"/>
                <w:szCs w:val="22"/>
                <w:lang w:val="en-US"/>
              </w:rPr>
            </w:pPr>
            <w:r w:rsidRPr="00D5105B">
              <w:rPr>
                <w:color w:val="000000"/>
                <w:szCs w:val="22"/>
                <w:lang w:val="en-US"/>
              </w:rPr>
              <w:t>1</w:t>
            </w:r>
          </w:p>
        </w:tc>
        <w:tc>
          <w:tcPr>
            <w:tcW w:w="1045" w:type="dxa"/>
          </w:tcPr>
          <w:p w14:paraId="5B6C32DC" w14:textId="77777777" w:rsidR="00A54217" w:rsidRPr="00D5105B" w:rsidRDefault="00A54217" w:rsidP="00AD46D7">
            <w:pPr>
              <w:rPr>
                <w:color w:val="000000"/>
                <w:szCs w:val="22"/>
                <w:lang w:val="en-US"/>
              </w:rPr>
            </w:pPr>
            <w:r w:rsidRPr="00D5105B">
              <w:rPr>
                <w:color w:val="000000"/>
                <w:szCs w:val="22"/>
                <w:lang w:val="en-US"/>
              </w:rPr>
              <w:t>1</w:t>
            </w:r>
          </w:p>
        </w:tc>
        <w:tc>
          <w:tcPr>
            <w:tcW w:w="1045" w:type="dxa"/>
          </w:tcPr>
          <w:p w14:paraId="60E80EF1" w14:textId="77777777" w:rsidR="00A54217" w:rsidRPr="00D5105B" w:rsidRDefault="00A54217" w:rsidP="00AD46D7">
            <w:pPr>
              <w:rPr>
                <w:color w:val="000000"/>
                <w:szCs w:val="22"/>
                <w:lang w:val="en-US"/>
              </w:rPr>
            </w:pPr>
          </w:p>
        </w:tc>
        <w:tc>
          <w:tcPr>
            <w:tcW w:w="1046" w:type="dxa"/>
          </w:tcPr>
          <w:p w14:paraId="41921868" w14:textId="77777777" w:rsidR="00A54217" w:rsidRPr="00D5105B" w:rsidRDefault="00A54217" w:rsidP="00AD46D7">
            <w:pPr>
              <w:rPr>
                <w:color w:val="000000"/>
                <w:szCs w:val="22"/>
                <w:lang w:val="en-US"/>
              </w:rPr>
            </w:pPr>
          </w:p>
        </w:tc>
        <w:tc>
          <w:tcPr>
            <w:tcW w:w="1045" w:type="dxa"/>
          </w:tcPr>
          <w:p w14:paraId="1CBF13FE" w14:textId="77777777" w:rsidR="00A54217" w:rsidRPr="00D5105B" w:rsidRDefault="00A54217" w:rsidP="00AD46D7">
            <w:pPr>
              <w:rPr>
                <w:color w:val="000000"/>
                <w:szCs w:val="22"/>
                <w:lang w:val="en-US"/>
              </w:rPr>
            </w:pPr>
          </w:p>
        </w:tc>
        <w:tc>
          <w:tcPr>
            <w:tcW w:w="1750" w:type="dxa"/>
          </w:tcPr>
          <w:p w14:paraId="696EB251" w14:textId="77777777" w:rsidR="00A54217" w:rsidRPr="00D5105B" w:rsidRDefault="00A54217" w:rsidP="00AD46D7">
            <w:pPr>
              <w:rPr>
                <w:color w:val="000000"/>
                <w:szCs w:val="22"/>
                <w:lang w:val="en-US"/>
              </w:rPr>
            </w:pPr>
          </w:p>
        </w:tc>
      </w:tr>
      <w:tr w:rsidR="00A54217" w:rsidRPr="00D5105B" w14:paraId="3073C325" w14:textId="77777777" w:rsidTr="00365332">
        <w:tc>
          <w:tcPr>
            <w:tcW w:w="998" w:type="dxa"/>
          </w:tcPr>
          <w:p w14:paraId="78D02494" w14:textId="77777777" w:rsidR="00A54217" w:rsidRPr="00D5105B" w:rsidRDefault="00A54217" w:rsidP="00AD46D7">
            <w:pPr>
              <w:rPr>
                <w:color w:val="000000"/>
                <w:szCs w:val="22"/>
                <w:lang w:val="en-US"/>
              </w:rPr>
            </w:pPr>
            <w:r w:rsidRPr="00D5105B">
              <w:rPr>
                <w:color w:val="000000"/>
                <w:szCs w:val="22"/>
                <w:lang w:val="en-US"/>
              </w:rPr>
              <w:t>20 kg</w:t>
            </w:r>
          </w:p>
        </w:tc>
        <w:tc>
          <w:tcPr>
            <w:tcW w:w="1045" w:type="dxa"/>
          </w:tcPr>
          <w:p w14:paraId="641835D4" w14:textId="77777777" w:rsidR="00A54217" w:rsidRPr="00D5105B" w:rsidRDefault="00A54217" w:rsidP="00AD46D7">
            <w:pPr>
              <w:rPr>
                <w:color w:val="000000"/>
                <w:szCs w:val="22"/>
                <w:lang w:val="en-US"/>
              </w:rPr>
            </w:pPr>
          </w:p>
        </w:tc>
        <w:tc>
          <w:tcPr>
            <w:tcW w:w="1045" w:type="dxa"/>
          </w:tcPr>
          <w:p w14:paraId="0FD5EDCB" w14:textId="77777777" w:rsidR="00A54217" w:rsidRPr="00D5105B" w:rsidRDefault="00A54217" w:rsidP="00AD46D7">
            <w:pPr>
              <w:rPr>
                <w:color w:val="000000"/>
                <w:szCs w:val="22"/>
                <w:lang w:val="en-US"/>
              </w:rPr>
            </w:pPr>
          </w:p>
        </w:tc>
        <w:tc>
          <w:tcPr>
            <w:tcW w:w="1046" w:type="dxa"/>
          </w:tcPr>
          <w:p w14:paraId="1D104E2E" w14:textId="77777777" w:rsidR="00A54217" w:rsidRPr="00D5105B" w:rsidRDefault="00A54217" w:rsidP="00AD46D7">
            <w:pPr>
              <w:rPr>
                <w:color w:val="000000"/>
                <w:szCs w:val="22"/>
                <w:lang w:val="en-US"/>
              </w:rPr>
            </w:pPr>
          </w:p>
        </w:tc>
        <w:tc>
          <w:tcPr>
            <w:tcW w:w="1045" w:type="dxa"/>
          </w:tcPr>
          <w:p w14:paraId="1593EE7D" w14:textId="77777777" w:rsidR="00A54217" w:rsidRPr="00D5105B" w:rsidRDefault="00A54217" w:rsidP="00AD46D7">
            <w:pPr>
              <w:rPr>
                <w:color w:val="000000"/>
                <w:szCs w:val="22"/>
                <w:lang w:val="en-US"/>
              </w:rPr>
            </w:pPr>
          </w:p>
        </w:tc>
        <w:tc>
          <w:tcPr>
            <w:tcW w:w="1045" w:type="dxa"/>
          </w:tcPr>
          <w:p w14:paraId="6730F897" w14:textId="77777777" w:rsidR="00A54217" w:rsidRPr="00D5105B" w:rsidRDefault="00A54217" w:rsidP="00AD46D7">
            <w:pPr>
              <w:rPr>
                <w:color w:val="000000"/>
                <w:szCs w:val="22"/>
                <w:lang w:val="en-US"/>
              </w:rPr>
            </w:pPr>
            <w:r w:rsidRPr="00D5105B">
              <w:rPr>
                <w:color w:val="000000"/>
                <w:szCs w:val="22"/>
                <w:lang w:val="en-US"/>
              </w:rPr>
              <w:t>1</w:t>
            </w:r>
          </w:p>
        </w:tc>
        <w:tc>
          <w:tcPr>
            <w:tcW w:w="1046" w:type="dxa"/>
          </w:tcPr>
          <w:p w14:paraId="5CBDA81F" w14:textId="77777777" w:rsidR="00A54217" w:rsidRPr="00D5105B" w:rsidRDefault="00A54217" w:rsidP="00AD46D7">
            <w:pPr>
              <w:rPr>
                <w:color w:val="000000"/>
                <w:szCs w:val="22"/>
                <w:lang w:val="en-US"/>
              </w:rPr>
            </w:pPr>
            <w:r w:rsidRPr="00D5105B">
              <w:rPr>
                <w:color w:val="000000"/>
                <w:szCs w:val="22"/>
                <w:lang w:val="en-US"/>
              </w:rPr>
              <w:t>1</w:t>
            </w:r>
          </w:p>
        </w:tc>
        <w:tc>
          <w:tcPr>
            <w:tcW w:w="1045" w:type="dxa"/>
          </w:tcPr>
          <w:p w14:paraId="72E7A359" w14:textId="77777777" w:rsidR="00A54217" w:rsidRPr="00D5105B" w:rsidRDefault="00A54217" w:rsidP="00AD46D7">
            <w:pPr>
              <w:rPr>
                <w:color w:val="000000"/>
                <w:szCs w:val="22"/>
                <w:lang w:val="en-US"/>
              </w:rPr>
            </w:pPr>
          </w:p>
        </w:tc>
        <w:tc>
          <w:tcPr>
            <w:tcW w:w="1750" w:type="dxa"/>
          </w:tcPr>
          <w:p w14:paraId="3B72715D" w14:textId="77777777" w:rsidR="00A54217" w:rsidRPr="00D5105B" w:rsidRDefault="00A54217" w:rsidP="00AD46D7">
            <w:pPr>
              <w:rPr>
                <w:color w:val="000000"/>
                <w:szCs w:val="22"/>
                <w:lang w:val="en-US"/>
              </w:rPr>
            </w:pPr>
          </w:p>
        </w:tc>
      </w:tr>
      <w:tr w:rsidR="00A54217" w:rsidRPr="00D5105B" w14:paraId="2FB9CCDE" w14:textId="77777777" w:rsidTr="00365332">
        <w:tc>
          <w:tcPr>
            <w:tcW w:w="998" w:type="dxa"/>
          </w:tcPr>
          <w:p w14:paraId="64122B6B" w14:textId="77777777" w:rsidR="00A54217" w:rsidRPr="00D5105B" w:rsidRDefault="00A54217" w:rsidP="00AD46D7">
            <w:pPr>
              <w:rPr>
                <w:color w:val="000000"/>
                <w:szCs w:val="22"/>
                <w:lang w:val="en-US"/>
              </w:rPr>
            </w:pPr>
            <w:r>
              <w:rPr>
                <w:color w:val="000000"/>
                <w:szCs w:val="22"/>
                <w:lang w:val="en-US"/>
              </w:rPr>
              <w:t>40 kg</w:t>
            </w:r>
          </w:p>
        </w:tc>
        <w:tc>
          <w:tcPr>
            <w:tcW w:w="1045" w:type="dxa"/>
          </w:tcPr>
          <w:p w14:paraId="2818A4EE" w14:textId="77777777" w:rsidR="00A54217" w:rsidRPr="00D5105B" w:rsidRDefault="00A54217" w:rsidP="00AD46D7">
            <w:pPr>
              <w:rPr>
                <w:color w:val="000000"/>
                <w:szCs w:val="22"/>
                <w:lang w:val="en-US"/>
              </w:rPr>
            </w:pPr>
          </w:p>
        </w:tc>
        <w:tc>
          <w:tcPr>
            <w:tcW w:w="1045" w:type="dxa"/>
          </w:tcPr>
          <w:p w14:paraId="547BF801" w14:textId="77777777" w:rsidR="00A54217" w:rsidRPr="00D5105B" w:rsidRDefault="00A54217" w:rsidP="00AD46D7">
            <w:pPr>
              <w:rPr>
                <w:color w:val="000000"/>
                <w:szCs w:val="22"/>
                <w:lang w:val="en-US"/>
              </w:rPr>
            </w:pPr>
          </w:p>
        </w:tc>
        <w:tc>
          <w:tcPr>
            <w:tcW w:w="1046" w:type="dxa"/>
          </w:tcPr>
          <w:p w14:paraId="32E62B63" w14:textId="77777777" w:rsidR="00A54217" w:rsidRPr="00D5105B" w:rsidRDefault="00A54217" w:rsidP="00AD46D7">
            <w:pPr>
              <w:rPr>
                <w:color w:val="000000"/>
                <w:szCs w:val="22"/>
                <w:lang w:val="en-US"/>
              </w:rPr>
            </w:pPr>
          </w:p>
        </w:tc>
        <w:tc>
          <w:tcPr>
            <w:tcW w:w="1045" w:type="dxa"/>
          </w:tcPr>
          <w:p w14:paraId="431B3375" w14:textId="77777777" w:rsidR="00A54217" w:rsidRPr="00D5105B" w:rsidRDefault="00A54217" w:rsidP="00AD46D7">
            <w:pPr>
              <w:rPr>
                <w:color w:val="000000"/>
                <w:szCs w:val="22"/>
                <w:lang w:val="en-US"/>
              </w:rPr>
            </w:pPr>
          </w:p>
        </w:tc>
        <w:tc>
          <w:tcPr>
            <w:tcW w:w="1045" w:type="dxa"/>
          </w:tcPr>
          <w:p w14:paraId="0591D5B7" w14:textId="77777777" w:rsidR="00A54217" w:rsidRPr="00D5105B" w:rsidRDefault="00A54217" w:rsidP="00AD46D7">
            <w:pPr>
              <w:rPr>
                <w:color w:val="000000"/>
                <w:szCs w:val="22"/>
                <w:lang w:val="en-US"/>
              </w:rPr>
            </w:pPr>
          </w:p>
        </w:tc>
        <w:tc>
          <w:tcPr>
            <w:tcW w:w="1046" w:type="dxa"/>
          </w:tcPr>
          <w:p w14:paraId="46C08886" w14:textId="77777777" w:rsidR="00A54217" w:rsidRPr="00D5105B" w:rsidRDefault="00A54217" w:rsidP="00AD46D7">
            <w:pPr>
              <w:rPr>
                <w:color w:val="000000"/>
                <w:szCs w:val="22"/>
                <w:lang w:val="en-US"/>
              </w:rPr>
            </w:pPr>
          </w:p>
        </w:tc>
        <w:tc>
          <w:tcPr>
            <w:tcW w:w="1045" w:type="dxa"/>
          </w:tcPr>
          <w:p w14:paraId="63425B9D" w14:textId="77777777" w:rsidR="00A54217" w:rsidRPr="00D5105B" w:rsidRDefault="00A54217" w:rsidP="00AD46D7">
            <w:pPr>
              <w:rPr>
                <w:color w:val="000000"/>
                <w:szCs w:val="22"/>
                <w:lang w:val="en-US"/>
              </w:rPr>
            </w:pPr>
            <w:r>
              <w:rPr>
                <w:color w:val="000000"/>
                <w:szCs w:val="22"/>
                <w:lang w:val="en-US"/>
              </w:rPr>
              <w:t>1</w:t>
            </w:r>
          </w:p>
        </w:tc>
        <w:tc>
          <w:tcPr>
            <w:tcW w:w="1750" w:type="dxa"/>
          </w:tcPr>
          <w:p w14:paraId="03C17533" w14:textId="77777777" w:rsidR="00A54217" w:rsidRPr="00D5105B" w:rsidRDefault="00A54217" w:rsidP="00AD46D7">
            <w:pPr>
              <w:rPr>
                <w:color w:val="000000"/>
                <w:szCs w:val="22"/>
                <w:lang w:val="en-US"/>
              </w:rPr>
            </w:pPr>
            <w:r>
              <w:rPr>
                <w:color w:val="000000"/>
                <w:szCs w:val="22"/>
                <w:lang w:val="en-US"/>
              </w:rPr>
              <w:t>1</w:t>
            </w:r>
          </w:p>
        </w:tc>
      </w:tr>
      <w:bookmarkEnd w:id="3"/>
    </w:tbl>
    <w:p w14:paraId="05F521FD" w14:textId="77777777" w:rsidR="00A54217" w:rsidRDefault="00A54217" w:rsidP="00A54217"/>
    <w:p w14:paraId="2825A960" w14:textId="77777777" w:rsidR="00A54217" w:rsidRDefault="00A54217" w:rsidP="00365332">
      <w:pPr>
        <w:ind w:firstLine="851"/>
      </w:pPr>
      <w:r>
        <w:t xml:space="preserve">Overskrid ikke den anbefalede dosering. </w:t>
      </w:r>
    </w:p>
    <w:p w14:paraId="47DF7FC5" w14:textId="77777777" w:rsidR="00A54217" w:rsidRDefault="00A54217" w:rsidP="00365332">
      <w:pPr>
        <w:ind w:firstLine="851"/>
      </w:pPr>
      <w:r>
        <w:t xml:space="preserve">Hver dosis af </w:t>
      </w:r>
      <w:proofErr w:type="spellStart"/>
      <w:r>
        <w:t>pimobendan</w:t>
      </w:r>
      <w:proofErr w:type="spellEnd"/>
      <w:r>
        <w:t xml:space="preserve"> skal gives ca. 1 time før fodring.</w:t>
      </w:r>
    </w:p>
    <w:p w14:paraId="643595BC" w14:textId="77777777" w:rsidR="00A54217" w:rsidRDefault="00A54217" w:rsidP="00365332">
      <w:pPr>
        <w:ind w:firstLine="851"/>
      </w:pPr>
      <w:proofErr w:type="spellStart"/>
      <w:r>
        <w:t>Pimobendan</w:t>
      </w:r>
      <w:proofErr w:type="spellEnd"/>
      <w:r>
        <w:t xml:space="preserve"> kan også bruges i kombination med </w:t>
      </w:r>
      <w:proofErr w:type="spellStart"/>
      <w:r>
        <w:t>diuretika</w:t>
      </w:r>
      <w:proofErr w:type="spellEnd"/>
      <w:r>
        <w:t xml:space="preserve">, f.eks. </w:t>
      </w:r>
      <w:proofErr w:type="spellStart"/>
      <w:r>
        <w:t>furosemid</w:t>
      </w:r>
      <w:proofErr w:type="spellEnd"/>
      <w:r>
        <w:t xml:space="preserve"> eller </w:t>
      </w:r>
      <w:proofErr w:type="spellStart"/>
      <w:r>
        <w:t>torasemid</w:t>
      </w:r>
      <w:proofErr w:type="spellEnd"/>
      <w:r>
        <w:t>.</w:t>
      </w:r>
    </w:p>
    <w:p w14:paraId="76BE4016" w14:textId="77777777" w:rsidR="00A54217" w:rsidRDefault="00A54217" w:rsidP="00365332">
      <w:pPr>
        <w:ind w:left="851"/>
      </w:pPr>
      <w:r>
        <w:t>Tyggetabletterne kan halveres ved delekærven for at opnå den korrekte dosering svarende til legemsvægten.</w:t>
      </w:r>
    </w:p>
    <w:p w14:paraId="7BAD7051" w14:textId="77777777" w:rsidR="00A54217" w:rsidRDefault="00A54217" w:rsidP="00A54217"/>
    <w:p w14:paraId="47BADC05" w14:textId="77777777" w:rsidR="00A54217" w:rsidRDefault="00A54217" w:rsidP="00365332">
      <w:pPr>
        <w:pStyle w:val="Style1"/>
        <w:ind w:left="851" w:hanging="851"/>
      </w:pPr>
      <w:r w:rsidRPr="00F260F0">
        <w:t>3.10</w:t>
      </w:r>
      <w:r w:rsidRPr="00F260F0">
        <w:tab/>
        <w:t>Symptomer på overdosering (og, hvis relevant, nødforanstaltninger og modgift)</w:t>
      </w:r>
    </w:p>
    <w:p w14:paraId="66978AC0" w14:textId="77777777" w:rsidR="00A54217" w:rsidRDefault="00A54217" w:rsidP="00A54217">
      <w:pPr>
        <w:pStyle w:val="Style1"/>
      </w:pPr>
    </w:p>
    <w:p w14:paraId="5EB2C6E8" w14:textId="77777777" w:rsidR="00A54217" w:rsidRPr="00FA69F9" w:rsidRDefault="00A54217" w:rsidP="00365332">
      <w:pPr>
        <w:ind w:left="851"/>
        <w:rPr>
          <w:szCs w:val="22"/>
        </w:rPr>
      </w:pPr>
      <w:r>
        <w:rPr>
          <w:szCs w:val="22"/>
        </w:rPr>
        <w:t>O</w:t>
      </w:r>
      <w:r w:rsidRPr="00FA69F9">
        <w:rPr>
          <w:szCs w:val="22"/>
        </w:rPr>
        <w:t xml:space="preserve">verdosering kan </w:t>
      </w:r>
      <w:r>
        <w:rPr>
          <w:szCs w:val="22"/>
        </w:rPr>
        <w:t xml:space="preserve">medføre </w:t>
      </w:r>
      <w:r w:rsidRPr="00FA69F9">
        <w:rPr>
          <w:szCs w:val="22"/>
        </w:rPr>
        <w:t xml:space="preserve">en positiv </w:t>
      </w:r>
      <w:proofErr w:type="spellStart"/>
      <w:r w:rsidRPr="00FA69F9">
        <w:rPr>
          <w:szCs w:val="22"/>
        </w:rPr>
        <w:t>kronotrop</w:t>
      </w:r>
      <w:proofErr w:type="spellEnd"/>
      <w:r w:rsidRPr="00FA69F9">
        <w:rPr>
          <w:szCs w:val="22"/>
        </w:rPr>
        <w:t xml:space="preserve"> </w:t>
      </w:r>
      <w:r>
        <w:rPr>
          <w:szCs w:val="22"/>
        </w:rPr>
        <w:t>virkning</w:t>
      </w:r>
      <w:r w:rsidRPr="00FA69F9">
        <w:rPr>
          <w:szCs w:val="22"/>
        </w:rPr>
        <w:t xml:space="preserve">, opkastning, apati, </w:t>
      </w:r>
      <w:proofErr w:type="spellStart"/>
      <w:r w:rsidRPr="00FA69F9">
        <w:rPr>
          <w:szCs w:val="22"/>
        </w:rPr>
        <w:t>ataksi</w:t>
      </w:r>
      <w:proofErr w:type="spellEnd"/>
      <w:r w:rsidRPr="00FA69F9">
        <w:rPr>
          <w:szCs w:val="22"/>
        </w:rPr>
        <w:t xml:space="preserve">, hjertemislyde eller hypotension. </w:t>
      </w:r>
      <w:r>
        <w:rPr>
          <w:szCs w:val="22"/>
        </w:rPr>
        <w:t>I</w:t>
      </w:r>
      <w:r w:rsidRPr="00FA69F9">
        <w:rPr>
          <w:szCs w:val="22"/>
        </w:rPr>
        <w:t xml:space="preserve"> dette er tilfælde, skal dosis reduceres og en passende symptomatisk behandling iværksættes. </w:t>
      </w:r>
    </w:p>
    <w:p w14:paraId="0B85A659" w14:textId="08E8D5C2" w:rsidR="00A54217" w:rsidRDefault="00A54217" w:rsidP="00365332">
      <w:pPr>
        <w:ind w:left="851"/>
        <w:rPr>
          <w:szCs w:val="22"/>
        </w:rPr>
      </w:pPr>
      <w:r>
        <w:rPr>
          <w:szCs w:val="22"/>
        </w:rPr>
        <w:t xml:space="preserve">Ved langvarig eksponering </w:t>
      </w:r>
      <w:r w:rsidRPr="00FA69F9">
        <w:rPr>
          <w:szCs w:val="22"/>
        </w:rPr>
        <w:t xml:space="preserve">(6 måneder) </w:t>
      </w:r>
      <w:r w:rsidR="00063331">
        <w:rPr>
          <w:szCs w:val="22"/>
        </w:rPr>
        <w:t>hos</w:t>
      </w:r>
      <w:r>
        <w:rPr>
          <w:szCs w:val="22"/>
        </w:rPr>
        <w:t xml:space="preserve"> raske beaglehunde </w:t>
      </w:r>
      <w:r w:rsidRPr="00FA69F9">
        <w:rPr>
          <w:szCs w:val="22"/>
        </w:rPr>
        <w:t xml:space="preserve">med 3 til 5 gange den anbefalede dosis, </w:t>
      </w:r>
      <w:r>
        <w:rPr>
          <w:szCs w:val="22"/>
        </w:rPr>
        <w:t>blev</w:t>
      </w:r>
      <w:r w:rsidRPr="00FA69F9">
        <w:rPr>
          <w:szCs w:val="22"/>
        </w:rPr>
        <w:t xml:space="preserve"> fortykkelse af </w:t>
      </w:r>
      <w:proofErr w:type="spellStart"/>
      <w:r w:rsidRPr="00FA69F9">
        <w:rPr>
          <w:szCs w:val="22"/>
        </w:rPr>
        <w:t>mitralklappen</w:t>
      </w:r>
      <w:proofErr w:type="spellEnd"/>
      <w:r w:rsidRPr="00FA69F9">
        <w:rPr>
          <w:szCs w:val="22"/>
        </w:rPr>
        <w:t xml:space="preserve"> og </w:t>
      </w:r>
      <w:proofErr w:type="spellStart"/>
      <w:r w:rsidRPr="00FA69F9">
        <w:rPr>
          <w:szCs w:val="22"/>
        </w:rPr>
        <w:t>venstresidig</w:t>
      </w:r>
      <w:proofErr w:type="spellEnd"/>
      <w:r w:rsidRPr="00FA69F9">
        <w:rPr>
          <w:szCs w:val="22"/>
        </w:rPr>
        <w:t xml:space="preserve"> ventrik</w:t>
      </w:r>
      <w:r>
        <w:rPr>
          <w:szCs w:val="22"/>
        </w:rPr>
        <w:t>el</w:t>
      </w:r>
      <w:r w:rsidRPr="00FA69F9">
        <w:rPr>
          <w:szCs w:val="22"/>
        </w:rPr>
        <w:t xml:space="preserve">hypertrofi </w:t>
      </w:r>
      <w:r>
        <w:rPr>
          <w:szCs w:val="22"/>
        </w:rPr>
        <w:t xml:space="preserve">observeret </w:t>
      </w:r>
      <w:r w:rsidRPr="00FA69F9">
        <w:rPr>
          <w:szCs w:val="22"/>
        </w:rPr>
        <w:t xml:space="preserve">hos nogle hunde. Disse forandringer er af </w:t>
      </w:r>
      <w:proofErr w:type="spellStart"/>
      <w:r w:rsidRPr="00FA69F9">
        <w:rPr>
          <w:szCs w:val="22"/>
        </w:rPr>
        <w:t>farmakodynamisk</w:t>
      </w:r>
      <w:proofErr w:type="spellEnd"/>
      <w:r w:rsidRPr="00FA69F9">
        <w:rPr>
          <w:szCs w:val="22"/>
        </w:rPr>
        <w:t xml:space="preserve"> oprindelse.</w:t>
      </w:r>
    </w:p>
    <w:p w14:paraId="214B65AC" w14:textId="77777777" w:rsidR="00A54217" w:rsidRPr="00F260F0" w:rsidRDefault="00A54217" w:rsidP="00A54217">
      <w:pPr>
        <w:rPr>
          <w:szCs w:val="22"/>
        </w:rPr>
      </w:pPr>
    </w:p>
    <w:p w14:paraId="648839F2" w14:textId="77777777" w:rsidR="00A54217" w:rsidRPr="00F260F0" w:rsidRDefault="00A54217" w:rsidP="00365332">
      <w:pPr>
        <w:pStyle w:val="Style1"/>
        <w:ind w:left="851" w:hanging="851"/>
      </w:pPr>
      <w:r w:rsidRPr="00F260F0">
        <w:lastRenderedPageBreak/>
        <w:t>3.11</w:t>
      </w:r>
      <w:r w:rsidRPr="00F260F0">
        <w:tab/>
        <w:t>Særlige begrænsninger og betingelser for anvendelse, herunder begrænsninger for anvendelsen af antimikrobielle og antiparasitære veterinærlægemidler for at begrænse risikoen for udvikling af resistens</w:t>
      </w:r>
    </w:p>
    <w:p w14:paraId="5923D72C" w14:textId="77777777" w:rsidR="00A54217" w:rsidRPr="00F260F0" w:rsidRDefault="00A54217" w:rsidP="00A54217">
      <w:pPr>
        <w:rPr>
          <w:szCs w:val="22"/>
        </w:rPr>
      </w:pPr>
    </w:p>
    <w:p w14:paraId="4F02A028" w14:textId="77777777" w:rsidR="00A54217" w:rsidRPr="00F260F0" w:rsidRDefault="00A54217" w:rsidP="00365332">
      <w:pPr>
        <w:ind w:firstLine="851"/>
        <w:rPr>
          <w:szCs w:val="22"/>
        </w:rPr>
      </w:pPr>
      <w:r w:rsidRPr="00F260F0">
        <w:t>Ikke relevant.</w:t>
      </w:r>
    </w:p>
    <w:p w14:paraId="32C6EAF6" w14:textId="77777777" w:rsidR="00A54217" w:rsidRPr="00F260F0" w:rsidRDefault="00A54217" w:rsidP="00A54217">
      <w:pPr>
        <w:rPr>
          <w:szCs w:val="22"/>
        </w:rPr>
      </w:pPr>
    </w:p>
    <w:p w14:paraId="14309D56" w14:textId="77777777" w:rsidR="00A54217" w:rsidRPr="00F260F0" w:rsidRDefault="00A54217" w:rsidP="00365332">
      <w:pPr>
        <w:pStyle w:val="Style1"/>
        <w:ind w:left="851" w:hanging="851"/>
      </w:pPr>
      <w:r w:rsidRPr="00F260F0">
        <w:t>3.12</w:t>
      </w:r>
      <w:r w:rsidRPr="00F260F0">
        <w:tab/>
        <w:t>Tilbageholdelsestid</w:t>
      </w:r>
      <w:r>
        <w:t>(er)</w:t>
      </w:r>
    </w:p>
    <w:p w14:paraId="2810A809" w14:textId="77777777" w:rsidR="00A54217" w:rsidRPr="00F260F0" w:rsidRDefault="00A54217" w:rsidP="00A54217">
      <w:pPr>
        <w:rPr>
          <w:szCs w:val="22"/>
        </w:rPr>
      </w:pPr>
    </w:p>
    <w:p w14:paraId="220B392A" w14:textId="77777777" w:rsidR="00A54217" w:rsidRPr="00F260F0" w:rsidRDefault="00A54217" w:rsidP="00365332">
      <w:pPr>
        <w:ind w:firstLine="851"/>
        <w:rPr>
          <w:szCs w:val="22"/>
        </w:rPr>
      </w:pPr>
      <w:r w:rsidRPr="00F260F0">
        <w:t>Ikke relevant.</w:t>
      </w:r>
    </w:p>
    <w:p w14:paraId="239CB635" w14:textId="77777777" w:rsidR="00A54217" w:rsidRPr="00F260F0" w:rsidRDefault="00A54217" w:rsidP="00A54217">
      <w:pPr>
        <w:rPr>
          <w:szCs w:val="22"/>
        </w:rPr>
      </w:pPr>
    </w:p>
    <w:p w14:paraId="4E06E0B3" w14:textId="77777777" w:rsidR="00A54217" w:rsidRPr="00F260F0" w:rsidRDefault="00A54217" w:rsidP="00A54217">
      <w:pPr>
        <w:rPr>
          <w:szCs w:val="22"/>
        </w:rPr>
      </w:pPr>
    </w:p>
    <w:p w14:paraId="78E71DDF" w14:textId="77777777" w:rsidR="00A54217" w:rsidRPr="00F260F0" w:rsidRDefault="00A54217" w:rsidP="00365332">
      <w:pPr>
        <w:pStyle w:val="Style1"/>
        <w:ind w:left="851" w:hanging="851"/>
      </w:pPr>
      <w:r w:rsidRPr="0069601F">
        <w:t>4.</w:t>
      </w:r>
      <w:r w:rsidRPr="0069601F">
        <w:tab/>
      </w:r>
      <w:r w:rsidRPr="00F260F0">
        <w:t>FARMAKOLOGISKE OPLYSNINGER</w:t>
      </w:r>
    </w:p>
    <w:p w14:paraId="5571F4F6" w14:textId="77777777" w:rsidR="00A54217" w:rsidRPr="0069601F" w:rsidRDefault="00A54217" w:rsidP="00A54217">
      <w:pPr>
        <w:rPr>
          <w:szCs w:val="22"/>
        </w:rPr>
      </w:pPr>
    </w:p>
    <w:p w14:paraId="0FCF7270" w14:textId="77777777" w:rsidR="00A54217" w:rsidRPr="00F260F0" w:rsidRDefault="00A54217" w:rsidP="00365332">
      <w:pPr>
        <w:pStyle w:val="Style1"/>
        <w:ind w:left="851" w:hanging="851"/>
      </w:pPr>
      <w:r w:rsidRPr="0069601F">
        <w:t>4.1</w:t>
      </w:r>
      <w:r w:rsidRPr="0069601F">
        <w:tab/>
      </w:r>
      <w:proofErr w:type="spellStart"/>
      <w:r w:rsidRPr="00F260F0">
        <w:t>ATCvet</w:t>
      </w:r>
      <w:proofErr w:type="spellEnd"/>
      <w:r w:rsidRPr="00F260F0">
        <w:t>-kode:</w:t>
      </w:r>
    </w:p>
    <w:p w14:paraId="2465E9D6" w14:textId="77777777" w:rsidR="00A54217" w:rsidRDefault="00A54217" w:rsidP="00365332">
      <w:pPr>
        <w:ind w:firstLine="851"/>
      </w:pPr>
      <w:r>
        <w:t>QC01CE90</w:t>
      </w:r>
    </w:p>
    <w:p w14:paraId="74C88497" w14:textId="77777777" w:rsidR="00A54217" w:rsidRPr="00F260F0" w:rsidRDefault="00A54217" w:rsidP="00A54217">
      <w:pPr>
        <w:rPr>
          <w:szCs w:val="22"/>
        </w:rPr>
      </w:pPr>
    </w:p>
    <w:p w14:paraId="4B938A7E" w14:textId="77777777" w:rsidR="00A54217" w:rsidRPr="00F260F0" w:rsidRDefault="00A54217" w:rsidP="00365332">
      <w:pPr>
        <w:pStyle w:val="Style1"/>
        <w:ind w:left="851" w:hanging="851"/>
      </w:pPr>
      <w:r w:rsidRPr="00F260F0">
        <w:t>4.2</w:t>
      </w:r>
      <w:r w:rsidRPr="00F260F0">
        <w:tab/>
      </w:r>
      <w:proofErr w:type="spellStart"/>
      <w:r w:rsidRPr="00F260F0">
        <w:t>Farmakodynamiske</w:t>
      </w:r>
      <w:proofErr w:type="spellEnd"/>
      <w:r w:rsidRPr="00F260F0">
        <w:t xml:space="preserve"> oplysninger</w:t>
      </w:r>
    </w:p>
    <w:p w14:paraId="7634E481" w14:textId="77777777" w:rsidR="00A54217" w:rsidRDefault="00A54217" w:rsidP="00A54217">
      <w:pPr>
        <w:rPr>
          <w:szCs w:val="22"/>
        </w:rPr>
      </w:pPr>
    </w:p>
    <w:p w14:paraId="662F15CF" w14:textId="77777777" w:rsidR="00A54217" w:rsidRPr="00175CFF" w:rsidRDefault="00A54217" w:rsidP="00365332">
      <w:pPr>
        <w:ind w:left="851"/>
        <w:rPr>
          <w:szCs w:val="22"/>
        </w:rPr>
      </w:pPr>
      <w:proofErr w:type="spellStart"/>
      <w:r w:rsidRPr="00175CFF">
        <w:rPr>
          <w:szCs w:val="22"/>
        </w:rPr>
        <w:t>Pimobendan</w:t>
      </w:r>
      <w:proofErr w:type="spellEnd"/>
      <w:r w:rsidRPr="00175CFF">
        <w:rPr>
          <w:szCs w:val="22"/>
        </w:rPr>
        <w:t xml:space="preserve">, et </w:t>
      </w:r>
      <w:proofErr w:type="spellStart"/>
      <w:r w:rsidRPr="00175CFF">
        <w:rPr>
          <w:szCs w:val="22"/>
        </w:rPr>
        <w:t>benzimidazol-pyridazinon</w:t>
      </w:r>
      <w:proofErr w:type="spellEnd"/>
      <w:r w:rsidRPr="00175CFF">
        <w:rPr>
          <w:szCs w:val="22"/>
        </w:rPr>
        <w:t xml:space="preserve"> derivat, har en positiv inotrop </w:t>
      </w:r>
      <w:r>
        <w:rPr>
          <w:szCs w:val="22"/>
        </w:rPr>
        <w:t>virkning</w:t>
      </w:r>
      <w:r w:rsidRPr="00175CFF">
        <w:rPr>
          <w:szCs w:val="22"/>
        </w:rPr>
        <w:t xml:space="preserve"> og har udtalte </w:t>
      </w:r>
      <w:proofErr w:type="spellStart"/>
      <w:r w:rsidRPr="00175CFF">
        <w:rPr>
          <w:szCs w:val="22"/>
        </w:rPr>
        <w:t>vasodilaterende</w:t>
      </w:r>
      <w:proofErr w:type="spellEnd"/>
      <w:r w:rsidRPr="00175CFF">
        <w:rPr>
          <w:szCs w:val="22"/>
        </w:rPr>
        <w:t xml:space="preserve"> egenskaber.</w:t>
      </w:r>
    </w:p>
    <w:p w14:paraId="3764843C" w14:textId="77777777" w:rsidR="00A54217" w:rsidRPr="00175CFF" w:rsidRDefault="00A54217" w:rsidP="00A54217">
      <w:pPr>
        <w:rPr>
          <w:szCs w:val="22"/>
        </w:rPr>
      </w:pPr>
    </w:p>
    <w:p w14:paraId="2631CA10" w14:textId="77777777" w:rsidR="00A54217" w:rsidRPr="00175CFF" w:rsidRDefault="00A54217" w:rsidP="00365332">
      <w:pPr>
        <w:ind w:left="851"/>
        <w:rPr>
          <w:szCs w:val="22"/>
        </w:rPr>
      </w:pPr>
      <w:proofErr w:type="spellStart"/>
      <w:r w:rsidRPr="00175CFF">
        <w:rPr>
          <w:szCs w:val="22"/>
        </w:rPr>
        <w:t>Pimobendans</w:t>
      </w:r>
      <w:proofErr w:type="spellEnd"/>
      <w:r w:rsidRPr="00175CFF">
        <w:rPr>
          <w:szCs w:val="22"/>
        </w:rPr>
        <w:t xml:space="preserve"> positive inotrope </w:t>
      </w:r>
      <w:r>
        <w:rPr>
          <w:szCs w:val="22"/>
        </w:rPr>
        <w:t>virkning</w:t>
      </w:r>
      <w:r w:rsidRPr="00175CFF">
        <w:rPr>
          <w:szCs w:val="22"/>
        </w:rPr>
        <w:t xml:space="preserve"> </w:t>
      </w:r>
      <w:r>
        <w:rPr>
          <w:szCs w:val="22"/>
        </w:rPr>
        <w:t>opstår</w:t>
      </w:r>
      <w:r w:rsidRPr="00175CFF">
        <w:rPr>
          <w:szCs w:val="22"/>
        </w:rPr>
        <w:t xml:space="preserve"> </w:t>
      </w:r>
      <w:r>
        <w:rPr>
          <w:szCs w:val="22"/>
        </w:rPr>
        <w:t>gennem</w:t>
      </w:r>
      <w:r w:rsidRPr="00175CFF">
        <w:rPr>
          <w:szCs w:val="22"/>
        </w:rPr>
        <w:t xml:space="preserve"> </w:t>
      </w:r>
      <w:r>
        <w:rPr>
          <w:szCs w:val="22"/>
        </w:rPr>
        <w:t>en dobbelt</w:t>
      </w:r>
      <w:r w:rsidRPr="00175CFF">
        <w:rPr>
          <w:szCs w:val="22"/>
        </w:rPr>
        <w:t xml:space="preserve"> virkningsmekanisme: </w:t>
      </w:r>
      <w:r>
        <w:rPr>
          <w:szCs w:val="22"/>
        </w:rPr>
        <w:t>øget</w:t>
      </w:r>
      <w:r w:rsidRPr="00175CFF">
        <w:rPr>
          <w:szCs w:val="22"/>
        </w:rPr>
        <w:t xml:space="preserve"> calciumfølsomhed </w:t>
      </w:r>
      <w:r>
        <w:rPr>
          <w:szCs w:val="22"/>
        </w:rPr>
        <w:t xml:space="preserve">af hjertets </w:t>
      </w:r>
      <w:proofErr w:type="spellStart"/>
      <w:r>
        <w:rPr>
          <w:szCs w:val="22"/>
        </w:rPr>
        <w:t>myofilamenter</w:t>
      </w:r>
      <w:proofErr w:type="spellEnd"/>
      <w:r>
        <w:rPr>
          <w:szCs w:val="22"/>
        </w:rPr>
        <w:t xml:space="preserve"> </w:t>
      </w:r>
      <w:r w:rsidRPr="00175CFF">
        <w:rPr>
          <w:szCs w:val="22"/>
        </w:rPr>
        <w:t xml:space="preserve">og hæmning af </w:t>
      </w:r>
      <w:proofErr w:type="spellStart"/>
      <w:r w:rsidRPr="00175CFF">
        <w:rPr>
          <w:szCs w:val="22"/>
        </w:rPr>
        <w:t>phosphodiesterase</w:t>
      </w:r>
      <w:proofErr w:type="spellEnd"/>
      <w:r w:rsidRPr="00175CFF">
        <w:rPr>
          <w:szCs w:val="22"/>
        </w:rPr>
        <w:t xml:space="preserve"> III. </w:t>
      </w:r>
    </w:p>
    <w:p w14:paraId="5F21A09A" w14:textId="77777777" w:rsidR="00A54217" w:rsidRPr="00175CFF" w:rsidRDefault="00A54217" w:rsidP="00365332">
      <w:pPr>
        <w:ind w:left="851"/>
        <w:rPr>
          <w:szCs w:val="22"/>
        </w:rPr>
      </w:pPr>
      <w:r>
        <w:rPr>
          <w:szCs w:val="22"/>
        </w:rPr>
        <w:t>D</w:t>
      </w:r>
      <w:r w:rsidRPr="00175CFF">
        <w:rPr>
          <w:szCs w:val="22"/>
        </w:rPr>
        <w:t xml:space="preserve">en positive inotrope </w:t>
      </w:r>
      <w:r>
        <w:rPr>
          <w:szCs w:val="22"/>
        </w:rPr>
        <w:t>virkning</w:t>
      </w:r>
      <w:r w:rsidRPr="00175CFF">
        <w:rPr>
          <w:szCs w:val="22"/>
        </w:rPr>
        <w:t xml:space="preserve"> </w:t>
      </w:r>
      <w:r>
        <w:rPr>
          <w:szCs w:val="22"/>
        </w:rPr>
        <w:t>udløses således hverken af en virkning</w:t>
      </w:r>
      <w:r w:rsidRPr="00175CFF">
        <w:rPr>
          <w:szCs w:val="22"/>
        </w:rPr>
        <w:t xml:space="preserve"> svarende til den for hjerteglykosider eller </w:t>
      </w:r>
      <w:proofErr w:type="spellStart"/>
      <w:r w:rsidRPr="00175CFF">
        <w:rPr>
          <w:szCs w:val="22"/>
        </w:rPr>
        <w:t>sympatomimetisk</w:t>
      </w:r>
      <w:proofErr w:type="spellEnd"/>
      <w:r>
        <w:rPr>
          <w:szCs w:val="22"/>
        </w:rPr>
        <w:t>.</w:t>
      </w:r>
    </w:p>
    <w:p w14:paraId="281B1727" w14:textId="77777777" w:rsidR="00A54217" w:rsidRPr="00175CFF" w:rsidRDefault="00A54217" w:rsidP="00365332">
      <w:pPr>
        <w:ind w:firstLine="851"/>
        <w:rPr>
          <w:szCs w:val="22"/>
        </w:rPr>
      </w:pPr>
      <w:r w:rsidRPr="00175CFF">
        <w:rPr>
          <w:szCs w:val="22"/>
        </w:rPr>
        <w:t xml:space="preserve">Den </w:t>
      </w:r>
      <w:proofErr w:type="spellStart"/>
      <w:r w:rsidRPr="00175CFF">
        <w:rPr>
          <w:szCs w:val="22"/>
        </w:rPr>
        <w:t>vasodilaterende</w:t>
      </w:r>
      <w:proofErr w:type="spellEnd"/>
      <w:r w:rsidRPr="00175CFF">
        <w:rPr>
          <w:szCs w:val="22"/>
        </w:rPr>
        <w:t xml:space="preserve"> </w:t>
      </w:r>
      <w:r>
        <w:rPr>
          <w:szCs w:val="22"/>
        </w:rPr>
        <w:t>virkning</w:t>
      </w:r>
      <w:r w:rsidRPr="00175CFF">
        <w:rPr>
          <w:szCs w:val="22"/>
        </w:rPr>
        <w:t xml:space="preserve"> skyldes hæmning af </w:t>
      </w:r>
      <w:proofErr w:type="spellStart"/>
      <w:r w:rsidRPr="00175CFF">
        <w:rPr>
          <w:szCs w:val="22"/>
        </w:rPr>
        <w:t>phospordiesterase</w:t>
      </w:r>
      <w:proofErr w:type="spellEnd"/>
      <w:r w:rsidRPr="00175CFF">
        <w:rPr>
          <w:szCs w:val="22"/>
        </w:rPr>
        <w:t xml:space="preserve"> III.</w:t>
      </w:r>
    </w:p>
    <w:p w14:paraId="3253F987" w14:textId="77777777" w:rsidR="00A54217" w:rsidRPr="00175CFF" w:rsidRDefault="00A54217" w:rsidP="00A54217">
      <w:pPr>
        <w:rPr>
          <w:szCs w:val="22"/>
        </w:rPr>
      </w:pPr>
    </w:p>
    <w:p w14:paraId="5A987906" w14:textId="77777777" w:rsidR="00A54217" w:rsidRDefault="00A54217" w:rsidP="00365332">
      <w:pPr>
        <w:ind w:left="851"/>
        <w:rPr>
          <w:szCs w:val="22"/>
        </w:rPr>
      </w:pPr>
      <w:r w:rsidRPr="00175CFF">
        <w:rPr>
          <w:szCs w:val="22"/>
        </w:rPr>
        <w:t xml:space="preserve">Ved anvendelse </w:t>
      </w:r>
      <w:r>
        <w:rPr>
          <w:szCs w:val="22"/>
        </w:rPr>
        <w:t>til</w:t>
      </w:r>
      <w:r w:rsidRPr="00175CFF">
        <w:rPr>
          <w:szCs w:val="22"/>
        </w:rPr>
        <w:t xml:space="preserve"> symptomatisk </w:t>
      </w:r>
      <w:proofErr w:type="spellStart"/>
      <w:r w:rsidRPr="00175CFF">
        <w:rPr>
          <w:szCs w:val="22"/>
        </w:rPr>
        <w:t>valvulær</w:t>
      </w:r>
      <w:proofErr w:type="spellEnd"/>
      <w:r w:rsidRPr="00175CFF">
        <w:rPr>
          <w:szCs w:val="22"/>
        </w:rPr>
        <w:t xml:space="preserve"> insufficiens sam</w:t>
      </w:r>
      <w:r>
        <w:rPr>
          <w:szCs w:val="22"/>
        </w:rPr>
        <w:t>men</w:t>
      </w:r>
      <w:r w:rsidRPr="00175CFF">
        <w:rPr>
          <w:szCs w:val="22"/>
        </w:rPr>
        <w:t xml:space="preserve"> med </w:t>
      </w:r>
      <w:proofErr w:type="spellStart"/>
      <w:r w:rsidRPr="00175CFF">
        <w:rPr>
          <w:szCs w:val="22"/>
        </w:rPr>
        <w:t>furosemid</w:t>
      </w:r>
      <w:proofErr w:type="spellEnd"/>
      <w:r w:rsidRPr="00175CFF">
        <w:rPr>
          <w:szCs w:val="22"/>
        </w:rPr>
        <w:t xml:space="preserve">, er det vist, at </w:t>
      </w:r>
      <w:r>
        <w:rPr>
          <w:szCs w:val="22"/>
        </w:rPr>
        <w:t>veterinær</w:t>
      </w:r>
      <w:r w:rsidRPr="00175CFF">
        <w:rPr>
          <w:szCs w:val="22"/>
        </w:rPr>
        <w:t>lægemidlet forbedre</w:t>
      </w:r>
      <w:r>
        <w:rPr>
          <w:szCs w:val="22"/>
        </w:rPr>
        <w:t>r</w:t>
      </w:r>
      <w:r w:rsidRPr="00175CFF">
        <w:rPr>
          <w:szCs w:val="22"/>
        </w:rPr>
        <w:t xml:space="preserve"> livskvaliteten og forlænge</w:t>
      </w:r>
      <w:r>
        <w:rPr>
          <w:szCs w:val="22"/>
        </w:rPr>
        <w:t>r</w:t>
      </w:r>
      <w:r w:rsidRPr="00175CFF">
        <w:rPr>
          <w:szCs w:val="22"/>
        </w:rPr>
        <w:t xml:space="preserve"> den forventede levealder hos behandlede hunde. </w:t>
      </w:r>
    </w:p>
    <w:p w14:paraId="2667B1E0" w14:textId="77777777" w:rsidR="00A54217" w:rsidRPr="00175CFF" w:rsidRDefault="00A54217" w:rsidP="00A54217">
      <w:pPr>
        <w:rPr>
          <w:szCs w:val="22"/>
        </w:rPr>
      </w:pPr>
    </w:p>
    <w:p w14:paraId="731F97EB" w14:textId="77777777" w:rsidR="00A54217" w:rsidRDefault="00A54217" w:rsidP="00365332">
      <w:pPr>
        <w:ind w:left="851"/>
        <w:rPr>
          <w:szCs w:val="22"/>
        </w:rPr>
      </w:pPr>
      <w:r w:rsidRPr="00175CFF">
        <w:rPr>
          <w:szCs w:val="22"/>
        </w:rPr>
        <w:t xml:space="preserve">Ved anvendelse i et begrænset antal tilfælde af symptomatisk </w:t>
      </w:r>
      <w:proofErr w:type="spellStart"/>
      <w:r w:rsidRPr="00175CFF">
        <w:rPr>
          <w:szCs w:val="22"/>
        </w:rPr>
        <w:t>dilateret</w:t>
      </w:r>
      <w:proofErr w:type="spellEnd"/>
      <w:r w:rsidRPr="00175CFF">
        <w:rPr>
          <w:szCs w:val="22"/>
        </w:rPr>
        <w:t xml:space="preserve"> </w:t>
      </w:r>
      <w:proofErr w:type="spellStart"/>
      <w:r w:rsidRPr="00175CFF">
        <w:rPr>
          <w:szCs w:val="22"/>
        </w:rPr>
        <w:t>kardiomyopati</w:t>
      </w:r>
      <w:proofErr w:type="spellEnd"/>
      <w:r w:rsidRPr="00175CFF">
        <w:rPr>
          <w:szCs w:val="22"/>
        </w:rPr>
        <w:t xml:space="preserve"> </w:t>
      </w:r>
      <w:r>
        <w:rPr>
          <w:szCs w:val="22"/>
        </w:rPr>
        <w:t xml:space="preserve">(DCM) </w:t>
      </w:r>
      <w:r w:rsidRPr="00175CFF">
        <w:rPr>
          <w:szCs w:val="22"/>
        </w:rPr>
        <w:t xml:space="preserve">samtidig med </w:t>
      </w:r>
      <w:proofErr w:type="spellStart"/>
      <w:r w:rsidRPr="00175CFF">
        <w:rPr>
          <w:szCs w:val="22"/>
        </w:rPr>
        <w:t>furosemid</w:t>
      </w:r>
      <w:proofErr w:type="spellEnd"/>
      <w:r w:rsidRPr="00175CFF">
        <w:rPr>
          <w:szCs w:val="22"/>
        </w:rPr>
        <w:t xml:space="preserve">, </w:t>
      </w:r>
      <w:proofErr w:type="spellStart"/>
      <w:r w:rsidRPr="00175CFF">
        <w:rPr>
          <w:szCs w:val="22"/>
        </w:rPr>
        <w:t>enalapril</w:t>
      </w:r>
      <w:proofErr w:type="spellEnd"/>
      <w:r w:rsidRPr="00175CFF">
        <w:rPr>
          <w:szCs w:val="22"/>
        </w:rPr>
        <w:t xml:space="preserve"> og </w:t>
      </w:r>
      <w:proofErr w:type="spellStart"/>
      <w:r w:rsidRPr="00175CFF">
        <w:rPr>
          <w:szCs w:val="22"/>
        </w:rPr>
        <w:t>digoxin</w:t>
      </w:r>
      <w:proofErr w:type="spellEnd"/>
      <w:r w:rsidRPr="00175CFF">
        <w:rPr>
          <w:szCs w:val="22"/>
        </w:rPr>
        <w:t xml:space="preserve">, er det vist, at </w:t>
      </w:r>
      <w:r>
        <w:rPr>
          <w:szCs w:val="22"/>
        </w:rPr>
        <w:t>veterinær</w:t>
      </w:r>
      <w:r w:rsidRPr="00175CFF">
        <w:rPr>
          <w:szCs w:val="22"/>
        </w:rPr>
        <w:t>lægemidlet forbedre</w:t>
      </w:r>
      <w:r>
        <w:rPr>
          <w:szCs w:val="22"/>
        </w:rPr>
        <w:t>r</w:t>
      </w:r>
      <w:r w:rsidRPr="00175CFF">
        <w:rPr>
          <w:szCs w:val="22"/>
        </w:rPr>
        <w:t xml:space="preserve"> livskvaliteten og forlænge</w:t>
      </w:r>
      <w:r>
        <w:rPr>
          <w:szCs w:val="22"/>
        </w:rPr>
        <w:t>r</w:t>
      </w:r>
      <w:r w:rsidRPr="00175CFF">
        <w:rPr>
          <w:szCs w:val="22"/>
        </w:rPr>
        <w:t xml:space="preserve"> den forventede levealder hos behandlede hunde. </w:t>
      </w:r>
    </w:p>
    <w:p w14:paraId="1E13FF65" w14:textId="77777777" w:rsidR="00A54217" w:rsidRPr="00175CFF" w:rsidRDefault="00A54217" w:rsidP="00A54217">
      <w:pPr>
        <w:rPr>
          <w:szCs w:val="22"/>
        </w:rPr>
      </w:pPr>
    </w:p>
    <w:p w14:paraId="00398443" w14:textId="1DA92304" w:rsidR="00A54217" w:rsidRPr="00175CFF" w:rsidRDefault="00A54217" w:rsidP="00365332">
      <w:pPr>
        <w:ind w:left="851"/>
        <w:rPr>
          <w:szCs w:val="22"/>
        </w:rPr>
      </w:pPr>
      <w:r w:rsidRPr="00175CFF">
        <w:rPr>
          <w:szCs w:val="22"/>
        </w:rPr>
        <w:t xml:space="preserve">I et randomiseret placebo-kontrolleret studie med 363 hunde med præklinisk </w:t>
      </w:r>
      <w:proofErr w:type="spellStart"/>
      <w:r>
        <w:t>myxømatøs</w:t>
      </w:r>
      <w:proofErr w:type="spellEnd"/>
      <w:r>
        <w:t xml:space="preserve"> </w:t>
      </w:r>
      <w:proofErr w:type="spellStart"/>
      <w:r>
        <w:t>mitralklapsygdom</w:t>
      </w:r>
      <w:proofErr w:type="spellEnd"/>
      <w:r w:rsidRPr="00175CFF" w:rsidDel="003E2EF6">
        <w:rPr>
          <w:szCs w:val="22"/>
        </w:rPr>
        <w:t xml:space="preserve"> </w:t>
      </w:r>
      <w:r>
        <w:rPr>
          <w:szCs w:val="22"/>
        </w:rPr>
        <w:t>(MMVD)</w:t>
      </w:r>
      <w:r w:rsidRPr="00175CFF">
        <w:rPr>
          <w:szCs w:val="22"/>
        </w:rPr>
        <w:t xml:space="preserve">, opfyldte alle hundene følgende inklusionskriterier: Alder ≥ 6 år, </w:t>
      </w:r>
      <w:r>
        <w:rPr>
          <w:szCs w:val="22"/>
        </w:rPr>
        <w:t>legemsvægt</w:t>
      </w:r>
      <w:r w:rsidRPr="00175CFF">
        <w:rPr>
          <w:szCs w:val="22"/>
        </w:rPr>
        <w:t xml:space="preserve"> ≥ 4,1 og ≤ 15 kg, karakteristisk systolisk </w:t>
      </w:r>
      <w:r>
        <w:rPr>
          <w:szCs w:val="22"/>
        </w:rPr>
        <w:t>hjerte</w:t>
      </w:r>
      <w:r w:rsidRPr="00175CFF">
        <w:rPr>
          <w:szCs w:val="22"/>
        </w:rPr>
        <w:t xml:space="preserve">mislyd af moderat til høj intensitet (≥ grad 3/6) med maksimal intensitet over </w:t>
      </w:r>
      <w:proofErr w:type="spellStart"/>
      <w:r w:rsidRPr="00175CFF">
        <w:rPr>
          <w:szCs w:val="22"/>
        </w:rPr>
        <w:t>mitralområdet</w:t>
      </w:r>
      <w:proofErr w:type="spellEnd"/>
      <w:r w:rsidRPr="00175CFF">
        <w:rPr>
          <w:szCs w:val="22"/>
        </w:rPr>
        <w:t xml:space="preserve">; ekkokardiografisk </w:t>
      </w:r>
      <w:r>
        <w:rPr>
          <w:szCs w:val="22"/>
        </w:rPr>
        <w:t>påvisning</w:t>
      </w:r>
      <w:r w:rsidRPr="00175CFF">
        <w:rPr>
          <w:szCs w:val="22"/>
        </w:rPr>
        <w:t xml:space="preserve"> </w:t>
      </w:r>
      <w:r>
        <w:rPr>
          <w:szCs w:val="22"/>
        </w:rPr>
        <w:t>af</w:t>
      </w:r>
      <w:r w:rsidRPr="00175CFF">
        <w:rPr>
          <w:szCs w:val="22"/>
        </w:rPr>
        <w:t xml:space="preserve"> </w:t>
      </w:r>
      <w:r>
        <w:rPr>
          <w:szCs w:val="22"/>
        </w:rPr>
        <w:t>fremskreden</w:t>
      </w:r>
      <w:r w:rsidRPr="00175CFF">
        <w:rPr>
          <w:szCs w:val="22"/>
        </w:rPr>
        <w:t xml:space="preserve"> </w:t>
      </w:r>
      <w:r>
        <w:rPr>
          <w:szCs w:val="22"/>
        </w:rPr>
        <w:t>MMVD</w:t>
      </w:r>
      <w:r w:rsidRPr="00175CFF">
        <w:rPr>
          <w:szCs w:val="22"/>
        </w:rPr>
        <w:t xml:space="preserve"> defineret som karakteristiske </w:t>
      </w:r>
      <w:proofErr w:type="spellStart"/>
      <w:r w:rsidRPr="00175CFF">
        <w:rPr>
          <w:szCs w:val="22"/>
        </w:rPr>
        <w:t>valvulære</w:t>
      </w:r>
      <w:proofErr w:type="spellEnd"/>
      <w:r w:rsidRPr="00175CFF">
        <w:rPr>
          <w:szCs w:val="22"/>
        </w:rPr>
        <w:t xml:space="preserve"> læsioner i </w:t>
      </w:r>
      <w:proofErr w:type="spellStart"/>
      <w:r w:rsidRPr="00175CFF">
        <w:rPr>
          <w:szCs w:val="22"/>
        </w:rPr>
        <w:t>mitralklapapparatet</w:t>
      </w:r>
      <w:proofErr w:type="spellEnd"/>
      <w:r w:rsidRPr="00175CFF">
        <w:rPr>
          <w:szCs w:val="22"/>
        </w:rPr>
        <w:t xml:space="preserve">, ekkokardiografisk </w:t>
      </w:r>
      <w:r>
        <w:rPr>
          <w:szCs w:val="22"/>
        </w:rPr>
        <w:t>påvisning</w:t>
      </w:r>
      <w:r w:rsidRPr="00175CFF">
        <w:rPr>
          <w:szCs w:val="22"/>
        </w:rPr>
        <w:t xml:space="preserve"> </w:t>
      </w:r>
      <w:r>
        <w:rPr>
          <w:szCs w:val="22"/>
        </w:rPr>
        <w:t>af</w:t>
      </w:r>
      <w:r w:rsidRPr="00175CFF">
        <w:rPr>
          <w:szCs w:val="22"/>
        </w:rPr>
        <w:t xml:space="preserve"> </w:t>
      </w:r>
      <w:r>
        <w:rPr>
          <w:szCs w:val="22"/>
        </w:rPr>
        <w:t xml:space="preserve">dilatation af </w:t>
      </w:r>
      <w:r w:rsidRPr="00175CFF">
        <w:rPr>
          <w:szCs w:val="22"/>
        </w:rPr>
        <w:t>venstre for</w:t>
      </w:r>
      <w:r>
        <w:rPr>
          <w:szCs w:val="22"/>
        </w:rPr>
        <w:t>-</w:t>
      </w:r>
      <w:r w:rsidRPr="00175CFF">
        <w:rPr>
          <w:szCs w:val="22"/>
        </w:rPr>
        <w:t xml:space="preserve"> </w:t>
      </w:r>
      <w:r>
        <w:rPr>
          <w:szCs w:val="22"/>
        </w:rPr>
        <w:t>og hjerte</w:t>
      </w:r>
      <w:r w:rsidRPr="00175CFF">
        <w:rPr>
          <w:szCs w:val="22"/>
        </w:rPr>
        <w:t xml:space="preserve">kammer og radiografisk </w:t>
      </w:r>
      <w:r>
        <w:rPr>
          <w:szCs w:val="22"/>
        </w:rPr>
        <w:t>påvisning af</w:t>
      </w:r>
      <w:r w:rsidRPr="00175CFF">
        <w:rPr>
          <w:szCs w:val="22"/>
        </w:rPr>
        <w:t xml:space="preserve"> </w:t>
      </w:r>
      <w:proofErr w:type="spellStart"/>
      <w:r w:rsidRPr="00175CFF">
        <w:rPr>
          <w:szCs w:val="22"/>
        </w:rPr>
        <w:t>kardiomegali</w:t>
      </w:r>
      <w:proofErr w:type="spellEnd"/>
      <w:r w:rsidRPr="00175CFF">
        <w:rPr>
          <w:szCs w:val="22"/>
        </w:rPr>
        <w:t xml:space="preserve"> (</w:t>
      </w:r>
      <w:proofErr w:type="spellStart"/>
      <w:r>
        <w:rPr>
          <w:szCs w:val="22"/>
        </w:rPr>
        <w:t>vertebral</w:t>
      </w:r>
      <w:proofErr w:type="spellEnd"/>
      <w:r>
        <w:rPr>
          <w:szCs w:val="22"/>
        </w:rPr>
        <w:t xml:space="preserve"> </w:t>
      </w:r>
      <w:proofErr w:type="spellStart"/>
      <w:r>
        <w:rPr>
          <w:szCs w:val="22"/>
        </w:rPr>
        <w:t>heart</w:t>
      </w:r>
      <w:proofErr w:type="spellEnd"/>
      <w:r>
        <w:rPr>
          <w:szCs w:val="22"/>
        </w:rPr>
        <w:t xml:space="preserve"> sum (</w:t>
      </w:r>
      <w:r w:rsidRPr="00175CFF">
        <w:rPr>
          <w:szCs w:val="22"/>
        </w:rPr>
        <w:t>VHS) &gt; 10,5</w:t>
      </w:r>
      <w:r>
        <w:rPr>
          <w:szCs w:val="22"/>
        </w:rPr>
        <w:t>)</w:t>
      </w:r>
      <w:r w:rsidRPr="00175CFF">
        <w:rPr>
          <w:szCs w:val="22"/>
        </w:rPr>
        <w:t>.</w:t>
      </w:r>
      <w:r>
        <w:rPr>
          <w:szCs w:val="22"/>
        </w:rPr>
        <w:t xml:space="preserve"> </w:t>
      </w:r>
      <w:r w:rsidRPr="00175CFF">
        <w:rPr>
          <w:szCs w:val="22"/>
        </w:rPr>
        <w:t xml:space="preserve">Gennemsnitstiden før forekomst af kliniske tegn på </w:t>
      </w:r>
      <w:r w:rsidR="0011201F" w:rsidRPr="00AA256D">
        <w:rPr>
          <w:szCs w:val="22"/>
        </w:rPr>
        <w:t>hjerte</w:t>
      </w:r>
      <w:r w:rsidR="0011201F">
        <w:rPr>
          <w:szCs w:val="22"/>
        </w:rPr>
        <w:t>insufficiens</w:t>
      </w:r>
      <w:r w:rsidRPr="00175CFF">
        <w:rPr>
          <w:szCs w:val="22"/>
        </w:rPr>
        <w:t xml:space="preserve"> eller hjerterelateret død/aflivning blev hos disse hunde forlænget med ca. 15 måneder. Derudover var der en reduktion i hjertestørrelsen hos hunde behandlet med </w:t>
      </w:r>
      <w:proofErr w:type="spellStart"/>
      <w:r w:rsidRPr="00175CFF">
        <w:rPr>
          <w:szCs w:val="22"/>
        </w:rPr>
        <w:t>pimobendan</w:t>
      </w:r>
      <w:proofErr w:type="spellEnd"/>
      <w:r w:rsidRPr="00175CFF">
        <w:rPr>
          <w:szCs w:val="22"/>
        </w:rPr>
        <w:t xml:space="preserve"> i det prækliniske stadi</w:t>
      </w:r>
      <w:r>
        <w:rPr>
          <w:szCs w:val="22"/>
        </w:rPr>
        <w:t>e</w:t>
      </w:r>
      <w:r w:rsidRPr="00175CFF">
        <w:rPr>
          <w:szCs w:val="22"/>
        </w:rPr>
        <w:t xml:space="preserve"> af </w:t>
      </w:r>
      <w:r>
        <w:rPr>
          <w:szCs w:val="22"/>
        </w:rPr>
        <w:t>MMVD</w:t>
      </w:r>
      <w:r w:rsidRPr="00175CFF">
        <w:rPr>
          <w:szCs w:val="22"/>
        </w:rPr>
        <w:t xml:space="preserve">. Endvidere blev den samlede overlevelsestid forlænget med ca. 170 dage hos alle hunde, der fik </w:t>
      </w:r>
      <w:proofErr w:type="spellStart"/>
      <w:r w:rsidRPr="00175CFF">
        <w:rPr>
          <w:szCs w:val="22"/>
        </w:rPr>
        <w:t>pimobendan</w:t>
      </w:r>
      <w:proofErr w:type="spellEnd"/>
      <w:r w:rsidRPr="00175CFF">
        <w:rPr>
          <w:szCs w:val="22"/>
        </w:rPr>
        <w:t xml:space="preserve">, uafhængigt af deres dødsårsag (hjerterelateret død/aflivning og ikke-hjerterelateret død/aflivning). Hjerterelateret død eller aflivning indtraf hos 15 hunde i </w:t>
      </w:r>
      <w:proofErr w:type="spellStart"/>
      <w:r w:rsidRPr="00175CFF">
        <w:rPr>
          <w:szCs w:val="22"/>
        </w:rPr>
        <w:t>pimobendangruppen</w:t>
      </w:r>
      <w:proofErr w:type="spellEnd"/>
      <w:r w:rsidRPr="00175CFF">
        <w:rPr>
          <w:szCs w:val="22"/>
        </w:rPr>
        <w:t xml:space="preserve"> og 12 hunde i placebogruppen, før de fik kongestiv </w:t>
      </w:r>
      <w:r w:rsidR="0011201F" w:rsidRPr="00AA256D">
        <w:rPr>
          <w:szCs w:val="22"/>
        </w:rPr>
        <w:t>hjerte</w:t>
      </w:r>
      <w:r w:rsidR="0011201F">
        <w:rPr>
          <w:szCs w:val="22"/>
        </w:rPr>
        <w:t>insufficiens</w:t>
      </w:r>
      <w:r w:rsidRPr="00175CFF">
        <w:rPr>
          <w:szCs w:val="22"/>
        </w:rPr>
        <w:t xml:space="preserve">. Hunde i </w:t>
      </w:r>
      <w:proofErr w:type="spellStart"/>
      <w:r w:rsidRPr="00175CFF">
        <w:rPr>
          <w:szCs w:val="22"/>
        </w:rPr>
        <w:t>pimobendangruppen</w:t>
      </w:r>
      <w:proofErr w:type="spellEnd"/>
      <w:r w:rsidRPr="00175CFF">
        <w:rPr>
          <w:szCs w:val="22"/>
        </w:rPr>
        <w:t xml:space="preserve"> var i studiet længere tid (347,4 </w:t>
      </w:r>
      <w:proofErr w:type="spellStart"/>
      <w:r w:rsidRPr="00175CFF">
        <w:rPr>
          <w:szCs w:val="22"/>
        </w:rPr>
        <w:t>patientår</w:t>
      </w:r>
      <w:proofErr w:type="spellEnd"/>
      <w:r w:rsidRPr="00175CFF">
        <w:rPr>
          <w:szCs w:val="22"/>
        </w:rPr>
        <w:t xml:space="preserve">) end </w:t>
      </w:r>
      <w:r>
        <w:rPr>
          <w:szCs w:val="22"/>
        </w:rPr>
        <w:t>hunde</w:t>
      </w:r>
      <w:r w:rsidRPr="00175CFF">
        <w:rPr>
          <w:szCs w:val="22"/>
        </w:rPr>
        <w:t xml:space="preserve"> i placebogruppen (267,7 </w:t>
      </w:r>
      <w:proofErr w:type="spellStart"/>
      <w:r w:rsidRPr="00175CFF">
        <w:rPr>
          <w:szCs w:val="22"/>
        </w:rPr>
        <w:t>patientår</w:t>
      </w:r>
      <w:proofErr w:type="spellEnd"/>
      <w:r w:rsidRPr="00175CFF">
        <w:rPr>
          <w:szCs w:val="22"/>
        </w:rPr>
        <w:t>), hvilket resultere</w:t>
      </w:r>
      <w:r>
        <w:rPr>
          <w:szCs w:val="22"/>
        </w:rPr>
        <w:t>de</w:t>
      </w:r>
      <w:r w:rsidRPr="00175CFF">
        <w:rPr>
          <w:szCs w:val="22"/>
        </w:rPr>
        <w:t xml:space="preserve"> i en lavere forekomst.</w:t>
      </w:r>
    </w:p>
    <w:p w14:paraId="3993A527" w14:textId="77777777" w:rsidR="00A54217" w:rsidRPr="00175CFF" w:rsidRDefault="00A54217" w:rsidP="00A54217">
      <w:pPr>
        <w:rPr>
          <w:szCs w:val="22"/>
        </w:rPr>
      </w:pPr>
    </w:p>
    <w:p w14:paraId="7033A674" w14:textId="61A3F4A6" w:rsidR="00A54217" w:rsidRPr="00175CFF" w:rsidRDefault="00A54217" w:rsidP="00365332">
      <w:pPr>
        <w:ind w:left="851"/>
        <w:rPr>
          <w:szCs w:val="22"/>
        </w:rPr>
      </w:pPr>
      <w:r>
        <w:rPr>
          <w:szCs w:val="22"/>
        </w:rPr>
        <w:lastRenderedPageBreak/>
        <w:t>I</w:t>
      </w:r>
      <w:r w:rsidRPr="00175CFF">
        <w:rPr>
          <w:szCs w:val="22"/>
        </w:rPr>
        <w:t xml:space="preserve"> et randomiseret og placebokontrolleret studie med </w:t>
      </w:r>
      <w:proofErr w:type="spellStart"/>
      <w:r w:rsidRPr="00175CFF">
        <w:rPr>
          <w:szCs w:val="22"/>
        </w:rPr>
        <w:t>dobermann</w:t>
      </w:r>
      <w:proofErr w:type="spellEnd"/>
      <w:r w:rsidRPr="00175CFF">
        <w:rPr>
          <w:szCs w:val="22"/>
        </w:rPr>
        <w:t xml:space="preserve"> pinscher med præklinisk </w:t>
      </w:r>
      <w:r>
        <w:rPr>
          <w:szCs w:val="22"/>
        </w:rPr>
        <w:t>DCM</w:t>
      </w:r>
      <w:r w:rsidRPr="00175CFF">
        <w:rPr>
          <w:szCs w:val="22"/>
        </w:rPr>
        <w:t xml:space="preserve"> (asymptomatisk med en </w:t>
      </w:r>
      <w:r>
        <w:rPr>
          <w:szCs w:val="22"/>
        </w:rPr>
        <w:t>forøgelse af</w:t>
      </w:r>
      <w:r w:rsidRPr="00175CFF">
        <w:rPr>
          <w:szCs w:val="22"/>
        </w:rPr>
        <w:t xml:space="preserve"> venstre ventrikels slut-systoliske og slut-diastoliske diameter efter ekkokardiografisk) blev perioden frem til indtræden af </w:t>
      </w:r>
      <w:r>
        <w:rPr>
          <w:szCs w:val="22"/>
        </w:rPr>
        <w:t xml:space="preserve">kongestiv </w:t>
      </w:r>
      <w:r w:rsidR="0011201F" w:rsidRPr="00AA256D">
        <w:rPr>
          <w:szCs w:val="22"/>
        </w:rPr>
        <w:t>hjerte</w:t>
      </w:r>
      <w:r w:rsidR="0011201F">
        <w:rPr>
          <w:szCs w:val="22"/>
        </w:rPr>
        <w:t>insufficiens</w:t>
      </w:r>
      <w:r w:rsidRPr="00175CFF">
        <w:rPr>
          <w:szCs w:val="22"/>
        </w:rPr>
        <w:t xml:space="preserve"> eller pludselig død forlænget, og </w:t>
      </w:r>
      <w:r>
        <w:rPr>
          <w:szCs w:val="22"/>
        </w:rPr>
        <w:t>overlevelsestiden</w:t>
      </w:r>
      <w:r w:rsidRPr="00175CFF">
        <w:rPr>
          <w:szCs w:val="22"/>
        </w:rPr>
        <w:t xml:space="preserve"> blev forlænget blandt hunde</w:t>
      </w:r>
      <w:r>
        <w:rPr>
          <w:szCs w:val="22"/>
        </w:rPr>
        <w:t>,</w:t>
      </w:r>
      <w:r w:rsidRPr="00175CFF">
        <w:rPr>
          <w:szCs w:val="22"/>
        </w:rPr>
        <w:t xml:space="preserve"> </w:t>
      </w:r>
      <w:r>
        <w:rPr>
          <w:szCs w:val="22"/>
        </w:rPr>
        <w:t>der fik</w:t>
      </w:r>
      <w:r w:rsidRPr="00175CFF">
        <w:rPr>
          <w:szCs w:val="22"/>
        </w:rPr>
        <w:t xml:space="preserve"> </w:t>
      </w:r>
      <w:proofErr w:type="spellStart"/>
      <w:r w:rsidRPr="00175CFF">
        <w:rPr>
          <w:szCs w:val="22"/>
        </w:rPr>
        <w:t>pimobendan</w:t>
      </w:r>
      <w:proofErr w:type="spellEnd"/>
      <w:r w:rsidRPr="00175CFF">
        <w:rPr>
          <w:szCs w:val="22"/>
        </w:rPr>
        <w:t>.</w:t>
      </w:r>
    </w:p>
    <w:p w14:paraId="08859DD7" w14:textId="77777777" w:rsidR="00A54217" w:rsidRDefault="00A54217" w:rsidP="00365332">
      <w:pPr>
        <w:ind w:left="851"/>
        <w:rPr>
          <w:szCs w:val="22"/>
        </w:rPr>
      </w:pPr>
      <w:r w:rsidRPr="00175CFF">
        <w:rPr>
          <w:szCs w:val="22"/>
        </w:rPr>
        <w:t>Derudover</w:t>
      </w:r>
      <w:r>
        <w:rPr>
          <w:szCs w:val="22"/>
        </w:rPr>
        <w:t xml:space="preserve"> sås</w:t>
      </w:r>
      <w:r w:rsidRPr="00175CFF">
        <w:rPr>
          <w:szCs w:val="22"/>
        </w:rPr>
        <w:t xml:space="preserve"> en reduktion i hjertestørrelsen hos hunde behandlet med </w:t>
      </w:r>
      <w:proofErr w:type="spellStart"/>
      <w:r w:rsidRPr="00175CFF">
        <w:rPr>
          <w:szCs w:val="22"/>
        </w:rPr>
        <w:t>pimobendan</w:t>
      </w:r>
      <w:proofErr w:type="spellEnd"/>
      <w:r w:rsidRPr="00175CFF">
        <w:rPr>
          <w:szCs w:val="22"/>
        </w:rPr>
        <w:t xml:space="preserve"> i det prækliniske stadi</w:t>
      </w:r>
      <w:r>
        <w:rPr>
          <w:szCs w:val="22"/>
        </w:rPr>
        <w:t>e</w:t>
      </w:r>
      <w:r w:rsidRPr="00175CFF">
        <w:rPr>
          <w:szCs w:val="22"/>
        </w:rPr>
        <w:t xml:space="preserve"> af </w:t>
      </w:r>
      <w:r>
        <w:rPr>
          <w:szCs w:val="22"/>
        </w:rPr>
        <w:t>DCM</w:t>
      </w:r>
      <w:r w:rsidRPr="00175CFF">
        <w:rPr>
          <w:szCs w:val="22"/>
        </w:rPr>
        <w:t xml:space="preserve">. Vurdering af </w:t>
      </w:r>
      <w:r>
        <w:rPr>
          <w:szCs w:val="22"/>
        </w:rPr>
        <w:t>virkning</w:t>
      </w:r>
      <w:r w:rsidRPr="00175CFF">
        <w:rPr>
          <w:szCs w:val="22"/>
        </w:rPr>
        <w:t xml:space="preserve"> er baseret på data fra 19 (af 39) hunde og 25 (af 37) hunde, der nåede det primære effektmål i henholdsvis </w:t>
      </w:r>
      <w:proofErr w:type="spellStart"/>
      <w:r w:rsidRPr="00175CFF">
        <w:rPr>
          <w:szCs w:val="22"/>
        </w:rPr>
        <w:t>pimobendan</w:t>
      </w:r>
      <w:proofErr w:type="spellEnd"/>
      <w:r w:rsidRPr="00175CFF">
        <w:rPr>
          <w:szCs w:val="22"/>
        </w:rPr>
        <w:t>- og placebogruppen.</w:t>
      </w:r>
    </w:p>
    <w:p w14:paraId="0904F196" w14:textId="77777777" w:rsidR="00A54217" w:rsidRPr="00F260F0" w:rsidRDefault="00A54217" w:rsidP="00A54217">
      <w:pPr>
        <w:rPr>
          <w:szCs w:val="22"/>
        </w:rPr>
      </w:pPr>
    </w:p>
    <w:p w14:paraId="1DB4CEFA" w14:textId="77777777" w:rsidR="00A54217" w:rsidRPr="00F260F0" w:rsidRDefault="00A54217" w:rsidP="00365332">
      <w:pPr>
        <w:pStyle w:val="Style1"/>
        <w:ind w:left="851" w:hanging="851"/>
      </w:pPr>
      <w:r w:rsidRPr="00F260F0">
        <w:t>4.3</w:t>
      </w:r>
      <w:r w:rsidRPr="00F260F0">
        <w:tab/>
      </w:r>
      <w:proofErr w:type="spellStart"/>
      <w:r w:rsidRPr="00F260F0">
        <w:t>Farmakokinetiske</w:t>
      </w:r>
      <w:proofErr w:type="spellEnd"/>
      <w:r w:rsidRPr="00F260F0">
        <w:t xml:space="preserve"> oplysninger</w:t>
      </w:r>
    </w:p>
    <w:p w14:paraId="3C750B3C" w14:textId="77777777" w:rsidR="00A54217" w:rsidRPr="00F260F0" w:rsidRDefault="00A54217" w:rsidP="00A54217">
      <w:pPr>
        <w:rPr>
          <w:szCs w:val="22"/>
        </w:rPr>
      </w:pPr>
    </w:p>
    <w:p w14:paraId="713CE266" w14:textId="77777777" w:rsidR="00A54217" w:rsidRPr="00BC70E7" w:rsidRDefault="00A54217" w:rsidP="00365332">
      <w:pPr>
        <w:ind w:firstLine="851"/>
        <w:rPr>
          <w:szCs w:val="22"/>
          <w:u w:val="single"/>
        </w:rPr>
      </w:pPr>
      <w:r w:rsidRPr="00BC70E7">
        <w:rPr>
          <w:szCs w:val="22"/>
          <w:u w:val="single"/>
        </w:rPr>
        <w:t>Absorption:</w:t>
      </w:r>
    </w:p>
    <w:p w14:paraId="47C64895" w14:textId="77777777" w:rsidR="00A54217" w:rsidRPr="00BC70E7" w:rsidRDefault="00A54217" w:rsidP="00365332">
      <w:pPr>
        <w:ind w:left="851"/>
        <w:rPr>
          <w:szCs w:val="22"/>
        </w:rPr>
      </w:pPr>
      <w:r w:rsidRPr="00BC70E7">
        <w:rPr>
          <w:szCs w:val="22"/>
        </w:rPr>
        <w:t xml:space="preserve">Efter oral </w:t>
      </w:r>
      <w:r>
        <w:rPr>
          <w:szCs w:val="22"/>
        </w:rPr>
        <w:t>administration</w:t>
      </w:r>
      <w:r w:rsidRPr="00BC70E7">
        <w:rPr>
          <w:szCs w:val="22"/>
        </w:rPr>
        <w:t xml:space="preserve"> af dette veterinærlægemiddel er den absolutte biotilgængelighed af det aktive stof 60-63%. Da samtidig med eller </w:t>
      </w:r>
      <w:r>
        <w:rPr>
          <w:szCs w:val="22"/>
        </w:rPr>
        <w:t>tidligere</w:t>
      </w:r>
      <w:r w:rsidRPr="00BC70E7">
        <w:rPr>
          <w:szCs w:val="22"/>
        </w:rPr>
        <w:t xml:space="preserve"> foderindtag </w:t>
      </w:r>
      <w:r>
        <w:rPr>
          <w:szCs w:val="22"/>
        </w:rPr>
        <w:t>reducerer biotilgængeligheden, bør</w:t>
      </w:r>
      <w:r w:rsidRPr="00BC70E7">
        <w:rPr>
          <w:szCs w:val="22"/>
        </w:rPr>
        <w:t xml:space="preserve"> </w:t>
      </w:r>
      <w:proofErr w:type="spellStart"/>
      <w:r w:rsidRPr="00BC70E7">
        <w:rPr>
          <w:szCs w:val="22"/>
        </w:rPr>
        <w:t>pimobendan</w:t>
      </w:r>
      <w:proofErr w:type="spellEnd"/>
      <w:r w:rsidRPr="00BC70E7">
        <w:rPr>
          <w:szCs w:val="22"/>
        </w:rPr>
        <w:t xml:space="preserve"> gives ca. 1 time før fodring.</w:t>
      </w:r>
      <w:r>
        <w:rPr>
          <w:szCs w:val="22"/>
        </w:rPr>
        <w:t xml:space="preserve"> </w:t>
      </w:r>
    </w:p>
    <w:p w14:paraId="1CDB5AC4" w14:textId="77777777" w:rsidR="00A54217" w:rsidRPr="00BC70E7" w:rsidRDefault="00A54217" w:rsidP="00A54217">
      <w:pPr>
        <w:rPr>
          <w:szCs w:val="22"/>
        </w:rPr>
      </w:pPr>
    </w:p>
    <w:p w14:paraId="2635D47E" w14:textId="77777777" w:rsidR="00A54217" w:rsidRPr="00BC70E7" w:rsidRDefault="00A54217" w:rsidP="00365332">
      <w:pPr>
        <w:ind w:firstLine="851"/>
        <w:rPr>
          <w:szCs w:val="22"/>
          <w:u w:val="single"/>
        </w:rPr>
      </w:pPr>
      <w:r w:rsidRPr="00BC70E7">
        <w:rPr>
          <w:szCs w:val="22"/>
          <w:u w:val="single"/>
        </w:rPr>
        <w:t>Distribution:</w:t>
      </w:r>
    </w:p>
    <w:p w14:paraId="7A259D97" w14:textId="77777777" w:rsidR="00A54217" w:rsidRPr="00BC70E7" w:rsidRDefault="00A54217" w:rsidP="00365332">
      <w:pPr>
        <w:ind w:left="851"/>
        <w:rPr>
          <w:szCs w:val="22"/>
        </w:rPr>
      </w:pPr>
      <w:r w:rsidRPr="00BC70E7">
        <w:rPr>
          <w:szCs w:val="22"/>
        </w:rPr>
        <w:t xml:space="preserve">Fordelingsvolumenet er 2,6 </w:t>
      </w:r>
      <w:r>
        <w:rPr>
          <w:szCs w:val="22"/>
        </w:rPr>
        <w:t>l</w:t>
      </w:r>
      <w:r w:rsidRPr="00BC70E7">
        <w:rPr>
          <w:szCs w:val="22"/>
        </w:rPr>
        <w:t xml:space="preserve">/kg, hvilket indikerer, at </w:t>
      </w:r>
      <w:proofErr w:type="spellStart"/>
      <w:r w:rsidRPr="00BC70E7">
        <w:rPr>
          <w:szCs w:val="22"/>
        </w:rPr>
        <w:t>pimobendan</w:t>
      </w:r>
      <w:proofErr w:type="spellEnd"/>
      <w:r w:rsidRPr="00BC70E7">
        <w:rPr>
          <w:szCs w:val="22"/>
        </w:rPr>
        <w:t xml:space="preserve"> let fordeles i vævene. Den gennemsnitlige plasmaproteinbinding er 93%.</w:t>
      </w:r>
    </w:p>
    <w:p w14:paraId="101BB66D" w14:textId="77777777" w:rsidR="00A54217" w:rsidRPr="00BC70E7" w:rsidRDefault="00A54217" w:rsidP="00A54217">
      <w:pPr>
        <w:rPr>
          <w:szCs w:val="22"/>
        </w:rPr>
      </w:pPr>
    </w:p>
    <w:p w14:paraId="12321DC9" w14:textId="77777777" w:rsidR="00A54217" w:rsidRPr="00BC70E7" w:rsidRDefault="00A54217" w:rsidP="00365332">
      <w:pPr>
        <w:ind w:firstLine="851"/>
        <w:rPr>
          <w:szCs w:val="22"/>
          <w:u w:val="single"/>
        </w:rPr>
      </w:pPr>
      <w:r w:rsidRPr="00BC70E7">
        <w:rPr>
          <w:szCs w:val="22"/>
          <w:u w:val="single"/>
        </w:rPr>
        <w:t>Metabolisme:</w:t>
      </w:r>
    </w:p>
    <w:p w14:paraId="27AD659D" w14:textId="77777777" w:rsidR="00A54217" w:rsidRPr="00BC70E7" w:rsidRDefault="00A54217" w:rsidP="00365332">
      <w:pPr>
        <w:ind w:left="851"/>
        <w:rPr>
          <w:szCs w:val="22"/>
        </w:rPr>
      </w:pPr>
      <w:r w:rsidRPr="00BC70E7">
        <w:rPr>
          <w:szCs w:val="22"/>
        </w:rPr>
        <w:t xml:space="preserve">Ved </w:t>
      </w:r>
      <w:proofErr w:type="spellStart"/>
      <w:r w:rsidRPr="00BC70E7">
        <w:rPr>
          <w:szCs w:val="22"/>
        </w:rPr>
        <w:t>oxidativ</w:t>
      </w:r>
      <w:proofErr w:type="spellEnd"/>
      <w:r w:rsidRPr="00BC70E7">
        <w:rPr>
          <w:szCs w:val="22"/>
        </w:rPr>
        <w:t xml:space="preserve"> </w:t>
      </w:r>
      <w:proofErr w:type="spellStart"/>
      <w:r w:rsidRPr="00BC70E7">
        <w:rPr>
          <w:szCs w:val="22"/>
        </w:rPr>
        <w:t>demethylering</w:t>
      </w:r>
      <w:proofErr w:type="spellEnd"/>
      <w:r w:rsidRPr="00BC70E7">
        <w:rPr>
          <w:szCs w:val="22"/>
        </w:rPr>
        <w:t xml:space="preserve"> dannes den aktive hovedmetabolit (UD-CG 212). </w:t>
      </w:r>
      <w:r>
        <w:rPr>
          <w:szCs w:val="22"/>
        </w:rPr>
        <w:t>F</w:t>
      </w:r>
      <w:r w:rsidRPr="00BC70E7">
        <w:rPr>
          <w:szCs w:val="22"/>
        </w:rPr>
        <w:t xml:space="preserve">ortsatte </w:t>
      </w:r>
      <w:proofErr w:type="spellStart"/>
      <w:r w:rsidRPr="00BC70E7">
        <w:rPr>
          <w:szCs w:val="22"/>
        </w:rPr>
        <w:t>metaboliseringsvej</w:t>
      </w:r>
      <w:r>
        <w:rPr>
          <w:szCs w:val="22"/>
        </w:rPr>
        <w:t>e</w:t>
      </w:r>
      <w:proofErr w:type="spellEnd"/>
      <w:r w:rsidRPr="00BC70E7">
        <w:rPr>
          <w:szCs w:val="22"/>
        </w:rPr>
        <w:t xml:space="preserve"> er fase II-</w:t>
      </w:r>
      <w:proofErr w:type="spellStart"/>
      <w:r w:rsidRPr="00BC70E7">
        <w:rPr>
          <w:szCs w:val="22"/>
        </w:rPr>
        <w:t>konjugater</w:t>
      </w:r>
      <w:proofErr w:type="spellEnd"/>
      <w:r w:rsidRPr="00BC70E7">
        <w:rPr>
          <w:szCs w:val="22"/>
        </w:rPr>
        <w:t xml:space="preserve"> af UD-GC-212, såsom </w:t>
      </w:r>
      <w:proofErr w:type="spellStart"/>
      <w:r w:rsidRPr="00BC70E7">
        <w:rPr>
          <w:szCs w:val="22"/>
        </w:rPr>
        <w:t>glucuronider</w:t>
      </w:r>
      <w:proofErr w:type="spellEnd"/>
      <w:r w:rsidRPr="00BC70E7">
        <w:rPr>
          <w:szCs w:val="22"/>
        </w:rPr>
        <w:t xml:space="preserve"> og sulfater.</w:t>
      </w:r>
    </w:p>
    <w:p w14:paraId="421FF75A" w14:textId="77777777" w:rsidR="00A54217" w:rsidRPr="00BC70E7" w:rsidRDefault="00A54217" w:rsidP="00A54217">
      <w:pPr>
        <w:rPr>
          <w:szCs w:val="22"/>
        </w:rPr>
      </w:pPr>
    </w:p>
    <w:p w14:paraId="5F60FDD4" w14:textId="77777777" w:rsidR="00A54217" w:rsidRPr="00BC70E7" w:rsidRDefault="00A54217" w:rsidP="00365332">
      <w:pPr>
        <w:ind w:firstLine="851"/>
        <w:rPr>
          <w:szCs w:val="22"/>
          <w:u w:val="single"/>
        </w:rPr>
      </w:pPr>
      <w:r w:rsidRPr="00BC70E7">
        <w:rPr>
          <w:szCs w:val="22"/>
          <w:u w:val="single"/>
        </w:rPr>
        <w:t>Eliminering:</w:t>
      </w:r>
    </w:p>
    <w:p w14:paraId="26F68875" w14:textId="77777777" w:rsidR="00A54217" w:rsidRDefault="00A54217" w:rsidP="00365332">
      <w:pPr>
        <w:ind w:left="851"/>
        <w:rPr>
          <w:szCs w:val="22"/>
        </w:rPr>
      </w:pPr>
      <w:r w:rsidRPr="00BC70E7">
        <w:rPr>
          <w:szCs w:val="22"/>
        </w:rPr>
        <w:t xml:space="preserve">Plasmahalveringstiden for </w:t>
      </w:r>
      <w:proofErr w:type="spellStart"/>
      <w:r w:rsidRPr="00BC70E7">
        <w:rPr>
          <w:szCs w:val="22"/>
        </w:rPr>
        <w:t>pimobendan</w:t>
      </w:r>
      <w:proofErr w:type="spellEnd"/>
      <w:r w:rsidRPr="00BC70E7">
        <w:rPr>
          <w:szCs w:val="22"/>
        </w:rPr>
        <w:t xml:space="preserve"> er 0,4 ± 0,1 timer, hvilket </w:t>
      </w:r>
      <w:r>
        <w:rPr>
          <w:szCs w:val="22"/>
        </w:rPr>
        <w:t>er i overensstemmelse med d</w:t>
      </w:r>
      <w:r w:rsidRPr="00BC70E7">
        <w:rPr>
          <w:szCs w:val="22"/>
        </w:rPr>
        <w:t>en høj</w:t>
      </w:r>
      <w:r>
        <w:rPr>
          <w:szCs w:val="22"/>
        </w:rPr>
        <w:t>e</w:t>
      </w:r>
      <w:r w:rsidRPr="00BC70E7">
        <w:rPr>
          <w:szCs w:val="22"/>
        </w:rPr>
        <w:t xml:space="preserve"> </w:t>
      </w:r>
      <w:proofErr w:type="spellStart"/>
      <w:r w:rsidRPr="00BC70E7">
        <w:rPr>
          <w:szCs w:val="22"/>
        </w:rPr>
        <w:t>clearance</w:t>
      </w:r>
      <w:proofErr w:type="spellEnd"/>
      <w:r w:rsidRPr="00BC70E7">
        <w:rPr>
          <w:szCs w:val="22"/>
        </w:rPr>
        <w:t xml:space="preserve"> på 90 </w:t>
      </w:r>
      <w:r w:rsidRPr="001434E3">
        <w:rPr>
          <w:szCs w:val="22"/>
        </w:rPr>
        <w:t>±</w:t>
      </w:r>
      <w:r w:rsidRPr="00BC70E7">
        <w:rPr>
          <w:szCs w:val="22"/>
        </w:rPr>
        <w:t xml:space="preserve"> 19 ml/min/kg og en kort </w:t>
      </w:r>
      <w:r>
        <w:rPr>
          <w:szCs w:val="22"/>
        </w:rPr>
        <w:t xml:space="preserve">gennemsnitlig </w:t>
      </w:r>
      <w:r w:rsidRPr="00BC70E7">
        <w:rPr>
          <w:szCs w:val="22"/>
        </w:rPr>
        <w:t xml:space="preserve">opholdstid på 0,5 ± 0,1 timer. </w:t>
      </w:r>
    </w:p>
    <w:p w14:paraId="5ADDAD32" w14:textId="77777777" w:rsidR="00A54217" w:rsidRDefault="00A54217" w:rsidP="00365332">
      <w:pPr>
        <w:ind w:left="851"/>
        <w:rPr>
          <w:szCs w:val="22"/>
        </w:rPr>
      </w:pPr>
      <w:r w:rsidRPr="00BC70E7">
        <w:rPr>
          <w:szCs w:val="22"/>
        </w:rPr>
        <w:t xml:space="preserve">Den vigtigste aktive metabolit elimineres med en plasmahalveringstid på 2,0 ± 0,3 timer. </w:t>
      </w:r>
      <w:r>
        <w:rPr>
          <w:szCs w:val="22"/>
        </w:rPr>
        <w:t>Næsten hele dosis u</w:t>
      </w:r>
      <w:r w:rsidRPr="00BC70E7">
        <w:rPr>
          <w:szCs w:val="22"/>
        </w:rPr>
        <w:t>dskille</w:t>
      </w:r>
      <w:r>
        <w:rPr>
          <w:szCs w:val="22"/>
        </w:rPr>
        <w:t>s</w:t>
      </w:r>
      <w:r w:rsidRPr="00BC70E7">
        <w:rPr>
          <w:szCs w:val="22"/>
        </w:rPr>
        <w:t xml:space="preserve"> via fæces.</w:t>
      </w:r>
    </w:p>
    <w:p w14:paraId="054A35F4" w14:textId="77777777" w:rsidR="00A54217" w:rsidRDefault="00A54217" w:rsidP="00A54217">
      <w:pPr>
        <w:rPr>
          <w:szCs w:val="22"/>
        </w:rPr>
      </w:pPr>
    </w:p>
    <w:p w14:paraId="0B047C81" w14:textId="77777777" w:rsidR="00A54217" w:rsidRPr="00F260F0" w:rsidRDefault="00A54217" w:rsidP="00A54217">
      <w:pPr>
        <w:rPr>
          <w:szCs w:val="22"/>
        </w:rPr>
      </w:pPr>
    </w:p>
    <w:p w14:paraId="46291071" w14:textId="77777777" w:rsidR="00A54217" w:rsidRPr="00F260F0" w:rsidRDefault="00A54217" w:rsidP="00365332">
      <w:pPr>
        <w:pStyle w:val="Style1"/>
        <w:ind w:left="851" w:hanging="851"/>
      </w:pPr>
      <w:r w:rsidRPr="00F260F0">
        <w:t>5.</w:t>
      </w:r>
      <w:r w:rsidRPr="00F260F0">
        <w:tab/>
        <w:t>FARMACEUTISKE OPLYSNINGER</w:t>
      </w:r>
    </w:p>
    <w:p w14:paraId="3068A601" w14:textId="77777777" w:rsidR="00A54217" w:rsidRPr="00F260F0" w:rsidRDefault="00A54217" w:rsidP="00A54217">
      <w:pPr>
        <w:rPr>
          <w:szCs w:val="22"/>
        </w:rPr>
      </w:pPr>
    </w:p>
    <w:p w14:paraId="39B53DDE" w14:textId="77777777" w:rsidR="00A54217" w:rsidRPr="00F260F0" w:rsidRDefault="00A54217" w:rsidP="00365332">
      <w:pPr>
        <w:pStyle w:val="Style1"/>
        <w:ind w:left="851" w:hanging="851"/>
      </w:pPr>
      <w:r w:rsidRPr="00F260F0">
        <w:t>5.1</w:t>
      </w:r>
      <w:r w:rsidRPr="00F260F0">
        <w:tab/>
        <w:t>Væsentlige uforligeligheder</w:t>
      </w:r>
    </w:p>
    <w:p w14:paraId="79134EC1" w14:textId="77777777" w:rsidR="00A54217" w:rsidRPr="00F260F0" w:rsidRDefault="00A54217" w:rsidP="00A54217">
      <w:pPr>
        <w:rPr>
          <w:szCs w:val="22"/>
        </w:rPr>
      </w:pPr>
    </w:p>
    <w:p w14:paraId="74C12B89" w14:textId="77777777" w:rsidR="00A54217" w:rsidRPr="00F260F0" w:rsidRDefault="00A54217" w:rsidP="00365332">
      <w:pPr>
        <w:ind w:firstLine="851"/>
        <w:rPr>
          <w:szCs w:val="22"/>
        </w:rPr>
      </w:pPr>
      <w:r w:rsidRPr="00F260F0">
        <w:t>Ikke relevant.</w:t>
      </w:r>
    </w:p>
    <w:p w14:paraId="31B0167D" w14:textId="77777777" w:rsidR="00A54217" w:rsidRPr="00F260F0" w:rsidRDefault="00A54217" w:rsidP="00A54217">
      <w:pPr>
        <w:rPr>
          <w:szCs w:val="22"/>
        </w:rPr>
      </w:pPr>
    </w:p>
    <w:p w14:paraId="4B5B8CA8" w14:textId="77777777" w:rsidR="00A54217" w:rsidRPr="00F260F0" w:rsidRDefault="00A54217" w:rsidP="00365332">
      <w:pPr>
        <w:pStyle w:val="Style1"/>
        <w:ind w:left="851" w:hanging="851"/>
      </w:pPr>
      <w:r w:rsidRPr="00F260F0">
        <w:t>5.2</w:t>
      </w:r>
      <w:r w:rsidRPr="00F260F0">
        <w:tab/>
        <w:t>Opbevaringstid</w:t>
      </w:r>
    </w:p>
    <w:p w14:paraId="122FDB4E" w14:textId="77777777" w:rsidR="00A54217" w:rsidRPr="00F260F0" w:rsidRDefault="00A54217" w:rsidP="00A54217">
      <w:pPr>
        <w:rPr>
          <w:szCs w:val="22"/>
        </w:rPr>
      </w:pPr>
    </w:p>
    <w:p w14:paraId="50FD03BF" w14:textId="77777777" w:rsidR="00A54217" w:rsidRDefault="00A54217" w:rsidP="00365332">
      <w:pPr>
        <w:ind w:firstLine="851"/>
      </w:pPr>
      <w:r w:rsidRPr="00F260F0">
        <w:t>Opbevaringstid for veterinærlægemidlet i salgspakning:</w:t>
      </w:r>
      <w:r>
        <w:t xml:space="preserve"> 2 år.</w:t>
      </w:r>
    </w:p>
    <w:p w14:paraId="15858A02" w14:textId="77777777" w:rsidR="00A54217" w:rsidRPr="00F260F0" w:rsidRDefault="00A54217" w:rsidP="00365332">
      <w:pPr>
        <w:ind w:firstLine="851"/>
        <w:rPr>
          <w:szCs w:val="22"/>
        </w:rPr>
      </w:pPr>
      <w:r w:rsidRPr="00F260F0">
        <w:t xml:space="preserve">Opbevaringstid for </w:t>
      </w:r>
      <w:r w:rsidRPr="00DB69E1">
        <w:rPr>
          <w:szCs w:val="22"/>
        </w:rPr>
        <w:t>delte (halverede) tabletter: 3 dage.</w:t>
      </w:r>
    </w:p>
    <w:p w14:paraId="3F0C3D7A" w14:textId="77777777" w:rsidR="00A54217" w:rsidRPr="00F260F0" w:rsidRDefault="00A54217" w:rsidP="00A54217">
      <w:pPr>
        <w:rPr>
          <w:szCs w:val="22"/>
        </w:rPr>
      </w:pPr>
    </w:p>
    <w:p w14:paraId="539F477D" w14:textId="77777777" w:rsidR="00A54217" w:rsidRPr="00F260F0" w:rsidRDefault="00A54217" w:rsidP="00365332">
      <w:pPr>
        <w:pStyle w:val="Style1"/>
        <w:ind w:left="851" w:hanging="851"/>
      </w:pPr>
      <w:r w:rsidRPr="00F260F0">
        <w:t>5.3</w:t>
      </w:r>
      <w:r w:rsidRPr="00F260F0">
        <w:tab/>
        <w:t>Særlige forholdsregler vedrørende opbevaring</w:t>
      </w:r>
    </w:p>
    <w:p w14:paraId="20865BE8" w14:textId="77777777" w:rsidR="00A54217" w:rsidRPr="00F260F0" w:rsidRDefault="00A54217" w:rsidP="00A54217">
      <w:pPr>
        <w:rPr>
          <w:szCs w:val="22"/>
        </w:rPr>
      </w:pPr>
    </w:p>
    <w:p w14:paraId="5D80906C" w14:textId="77777777" w:rsidR="00A54217" w:rsidRDefault="00A54217" w:rsidP="00365332">
      <w:pPr>
        <w:pStyle w:val="Style5"/>
        <w:ind w:firstLine="851"/>
      </w:pPr>
      <w:r w:rsidRPr="00F260F0">
        <w:t>Må ikke opbevares over 25</w:t>
      </w:r>
      <w:r>
        <w:t xml:space="preserve"> </w:t>
      </w:r>
      <w:r w:rsidRPr="00F260F0">
        <w:t>°C.</w:t>
      </w:r>
    </w:p>
    <w:p w14:paraId="28316178" w14:textId="77777777" w:rsidR="00A54217" w:rsidRDefault="00A54217" w:rsidP="00365332">
      <w:pPr>
        <w:pStyle w:val="Style5"/>
        <w:ind w:firstLine="851"/>
      </w:pPr>
      <w:r w:rsidRPr="00DB69E1">
        <w:t xml:space="preserve">Halverede tabletter skal </w:t>
      </w:r>
      <w:r>
        <w:t>lægges tilbage i den åbne</w:t>
      </w:r>
      <w:r w:rsidRPr="00DB69E1">
        <w:t xml:space="preserve"> blisterlomme og opbevares i papæsken.</w:t>
      </w:r>
    </w:p>
    <w:p w14:paraId="0974F118" w14:textId="77777777" w:rsidR="00A54217" w:rsidRDefault="00A54217" w:rsidP="00A54217">
      <w:pPr>
        <w:pStyle w:val="Style1"/>
        <w:ind w:left="0" w:firstLine="0"/>
      </w:pPr>
    </w:p>
    <w:p w14:paraId="6651D78B" w14:textId="77777777" w:rsidR="00A54217" w:rsidRPr="00F260F0" w:rsidRDefault="00A54217" w:rsidP="00A54217">
      <w:pPr>
        <w:pStyle w:val="Style1"/>
        <w:ind w:left="0" w:firstLine="0"/>
      </w:pPr>
      <w:r w:rsidRPr="00F260F0">
        <w:t>5.4</w:t>
      </w:r>
      <w:r w:rsidR="00365332">
        <w:t xml:space="preserve">          </w:t>
      </w:r>
      <w:r w:rsidRPr="00F260F0">
        <w:t>Den indre emballages art og indhold</w:t>
      </w:r>
    </w:p>
    <w:p w14:paraId="6CC6E7AE" w14:textId="77777777" w:rsidR="00A54217" w:rsidRPr="00F260F0" w:rsidRDefault="00A54217" w:rsidP="00A54217">
      <w:pPr>
        <w:rPr>
          <w:szCs w:val="22"/>
        </w:rPr>
      </w:pPr>
    </w:p>
    <w:p w14:paraId="25B2E58A" w14:textId="77777777" w:rsidR="00A54217" w:rsidRDefault="00A54217" w:rsidP="00365332">
      <w:pPr>
        <w:ind w:firstLine="851"/>
      </w:pPr>
      <w:r>
        <w:t>Varmeforseglet aluminium//PVC/aluminium/polyamid blister indeholdende 10 tabletter.</w:t>
      </w:r>
    </w:p>
    <w:p w14:paraId="5B1CA530" w14:textId="77777777" w:rsidR="00A54217" w:rsidRDefault="00A54217" w:rsidP="00365332">
      <w:pPr>
        <w:ind w:firstLine="851"/>
      </w:pPr>
      <w:r>
        <w:t>Papæske med 2 blistre à 10 tabletter (20 tabletter)</w:t>
      </w:r>
    </w:p>
    <w:p w14:paraId="74FA1C45" w14:textId="77777777" w:rsidR="00A54217" w:rsidRDefault="00A54217" w:rsidP="00365332">
      <w:pPr>
        <w:ind w:firstLine="851"/>
      </w:pPr>
      <w:r>
        <w:t>Papæske med 5 blistre à 10 tabletter (50 tabletter)</w:t>
      </w:r>
    </w:p>
    <w:p w14:paraId="3A1B6A3E" w14:textId="77777777" w:rsidR="00A54217" w:rsidRDefault="00A54217" w:rsidP="00365332">
      <w:pPr>
        <w:ind w:firstLine="851"/>
      </w:pPr>
      <w:r>
        <w:lastRenderedPageBreak/>
        <w:t>Papæske med 10 blistre à 10 tabletter (100 tabletter)</w:t>
      </w:r>
    </w:p>
    <w:p w14:paraId="48C7AB02" w14:textId="77777777" w:rsidR="00A54217" w:rsidRDefault="00A54217" w:rsidP="00A54217"/>
    <w:p w14:paraId="2EF84771" w14:textId="77777777" w:rsidR="00A54217" w:rsidRDefault="00A54217" w:rsidP="00365332">
      <w:pPr>
        <w:ind w:firstLine="851"/>
      </w:pPr>
      <w:r>
        <w:t>Ikke alle pakningsstørrelser er nødvendigvis markedsført.</w:t>
      </w:r>
    </w:p>
    <w:p w14:paraId="05D97A1E" w14:textId="77777777" w:rsidR="00A54217" w:rsidRPr="00F260F0" w:rsidRDefault="00A54217" w:rsidP="00A54217">
      <w:pPr>
        <w:rPr>
          <w:szCs w:val="22"/>
        </w:rPr>
      </w:pPr>
    </w:p>
    <w:p w14:paraId="032E8FFE" w14:textId="77777777" w:rsidR="00A54217" w:rsidRPr="00F260F0" w:rsidRDefault="00A54217" w:rsidP="00365332">
      <w:pPr>
        <w:pStyle w:val="Style1"/>
        <w:ind w:left="851" w:hanging="851"/>
      </w:pPr>
      <w:r w:rsidRPr="00F260F0">
        <w:t>5.5</w:t>
      </w:r>
      <w:r w:rsidRPr="00F260F0">
        <w:tab/>
        <w:t>Særlige forholdsregler vedrørende bortskaffelse af ubrugte veterinærlægemidler eller affaldsmaterialer fra brugen heraf</w:t>
      </w:r>
    </w:p>
    <w:p w14:paraId="2C56B481" w14:textId="77777777" w:rsidR="00A54217" w:rsidRPr="00F260F0" w:rsidRDefault="00A54217" w:rsidP="00A54217">
      <w:pPr>
        <w:rPr>
          <w:szCs w:val="22"/>
        </w:rPr>
      </w:pPr>
    </w:p>
    <w:p w14:paraId="1557794F" w14:textId="77777777" w:rsidR="00A54217" w:rsidRPr="00F260F0" w:rsidRDefault="00A54217" w:rsidP="00365332">
      <w:pPr>
        <w:ind w:firstLine="851"/>
        <w:rPr>
          <w:szCs w:val="22"/>
        </w:rPr>
      </w:pPr>
      <w:r w:rsidRPr="00F260F0">
        <w:t>Lægemidler må ikke bortskaffes sammen med spildevand eller husholdningsaffald.</w:t>
      </w:r>
    </w:p>
    <w:p w14:paraId="57D577E8" w14:textId="77777777" w:rsidR="00A54217" w:rsidRPr="00F260F0" w:rsidRDefault="00A54217" w:rsidP="00365332">
      <w:pPr>
        <w:ind w:left="851" w:right="-143"/>
        <w:rPr>
          <w:szCs w:val="22"/>
        </w:rPr>
      </w:pPr>
      <w:r w:rsidRPr="00F260F0">
        <w:t>Benyt returordninger ved bortskaffelse af ubrugte veterinærlægemidler eller affaldsmaterialer herfra i henhold til lokale retningslinjer og nationale indsamlingsordninger, der er relevante for det pågældende veterinærlægemiddel.</w:t>
      </w:r>
    </w:p>
    <w:p w14:paraId="3365DF91" w14:textId="77777777" w:rsidR="00A54217" w:rsidRPr="00F260F0" w:rsidRDefault="00A54217" w:rsidP="00A54217">
      <w:pPr>
        <w:rPr>
          <w:szCs w:val="22"/>
        </w:rPr>
      </w:pPr>
    </w:p>
    <w:p w14:paraId="663E80CF" w14:textId="77777777" w:rsidR="00A54217" w:rsidRPr="00F260F0" w:rsidRDefault="00A54217" w:rsidP="00A54217">
      <w:pPr>
        <w:rPr>
          <w:szCs w:val="22"/>
        </w:rPr>
      </w:pPr>
    </w:p>
    <w:p w14:paraId="06E07BD1" w14:textId="77777777" w:rsidR="00A54217" w:rsidRPr="00F260F0" w:rsidRDefault="00A54217" w:rsidP="00365332">
      <w:pPr>
        <w:pStyle w:val="Style1"/>
        <w:ind w:left="851" w:hanging="851"/>
      </w:pPr>
      <w:r w:rsidRPr="00F260F0">
        <w:t>6.</w:t>
      </w:r>
      <w:r w:rsidRPr="00F260F0">
        <w:tab/>
        <w:t>NAVN PÅ INDEHAVEREN AF MARKEDSFØRINGSTILLADELSEN</w:t>
      </w:r>
    </w:p>
    <w:p w14:paraId="6CFAA2A4" w14:textId="77777777" w:rsidR="00A54217" w:rsidRPr="00F260F0" w:rsidRDefault="00A54217" w:rsidP="00A54217">
      <w:pPr>
        <w:rPr>
          <w:szCs w:val="22"/>
        </w:rPr>
      </w:pPr>
    </w:p>
    <w:p w14:paraId="663E63BD" w14:textId="77777777" w:rsidR="00A54217" w:rsidRDefault="00A54217" w:rsidP="00365332">
      <w:pPr>
        <w:ind w:firstLine="851"/>
      </w:pPr>
      <w:r>
        <w:t xml:space="preserve">Boehringer Ingelheim </w:t>
      </w:r>
      <w:proofErr w:type="spellStart"/>
      <w:r>
        <w:t>Vetmedica</w:t>
      </w:r>
      <w:proofErr w:type="spellEnd"/>
      <w:r>
        <w:t xml:space="preserve"> GmbH</w:t>
      </w:r>
    </w:p>
    <w:p w14:paraId="028534BD" w14:textId="77777777" w:rsidR="00A54217" w:rsidRDefault="00A54217" w:rsidP="00365332">
      <w:pPr>
        <w:ind w:firstLine="851"/>
      </w:pPr>
      <w:r>
        <w:t>Binger Str. 173</w:t>
      </w:r>
    </w:p>
    <w:p w14:paraId="4B44D96D" w14:textId="77777777" w:rsidR="00A54217" w:rsidRDefault="00A54217" w:rsidP="00365332">
      <w:pPr>
        <w:ind w:firstLine="851"/>
      </w:pPr>
      <w:r>
        <w:t>55216 Ingelheim</w:t>
      </w:r>
    </w:p>
    <w:p w14:paraId="2B560F3B" w14:textId="77777777" w:rsidR="00A54217" w:rsidRDefault="00A54217" w:rsidP="00365332">
      <w:pPr>
        <w:ind w:firstLine="851"/>
      </w:pPr>
      <w:r>
        <w:t>Tyskland</w:t>
      </w:r>
    </w:p>
    <w:p w14:paraId="1F9312BE" w14:textId="77777777" w:rsidR="00A54217" w:rsidRDefault="00A54217" w:rsidP="00A54217"/>
    <w:p w14:paraId="6842C15D" w14:textId="77777777" w:rsidR="00A54217" w:rsidRPr="00AD46D7" w:rsidRDefault="00A54217" w:rsidP="00365332">
      <w:pPr>
        <w:ind w:firstLine="851"/>
        <w:rPr>
          <w:b/>
          <w:bCs/>
        </w:rPr>
      </w:pPr>
      <w:r w:rsidRPr="00AD46D7">
        <w:rPr>
          <w:b/>
          <w:bCs/>
        </w:rPr>
        <w:t>Repræsentant</w:t>
      </w:r>
    </w:p>
    <w:p w14:paraId="6400EB6B" w14:textId="77777777" w:rsidR="00A54217" w:rsidRPr="00AD46D7" w:rsidRDefault="00A54217" w:rsidP="00365332">
      <w:pPr>
        <w:ind w:firstLine="851"/>
      </w:pPr>
      <w:r w:rsidRPr="00AD46D7">
        <w:t>Boehringer Ingelheim Animal Health Nordics A/S</w:t>
      </w:r>
    </w:p>
    <w:p w14:paraId="12545186" w14:textId="77777777" w:rsidR="00A54217" w:rsidRPr="00AD46D7" w:rsidRDefault="00A54217" w:rsidP="00365332">
      <w:pPr>
        <w:ind w:firstLine="851"/>
      </w:pPr>
      <w:proofErr w:type="spellStart"/>
      <w:r w:rsidRPr="00AD46D7">
        <w:t>Weidekampsgade</w:t>
      </w:r>
      <w:proofErr w:type="spellEnd"/>
      <w:r w:rsidRPr="00AD46D7">
        <w:t xml:space="preserve"> 14</w:t>
      </w:r>
    </w:p>
    <w:p w14:paraId="47C83980" w14:textId="77777777" w:rsidR="00A54217" w:rsidRPr="00AD46D7" w:rsidRDefault="00A54217" w:rsidP="00365332">
      <w:pPr>
        <w:ind w:firstLine="851"/>
        <w:rPr>
          <w:szCs w:val="22"/>
        </w:rPr>
      </w:pPr>
      <w:r w:rsidRPr="00AD46D7">
        <w:t>2300 København S</w:t>
      </w:r>
    </w:p>
    <w:p w14:paraId="6752C9B3" w14:textId="77777777" w:rsidR="00A54217" w:rsidRPr="00AD46D7" w:rsidRDefault="00A54217" w:rsidP="00A54217">
      <w:pPr>
        <w:rPr>
          <w:szCs w:val="22"/>
        </w:rPr>
      </w:pPr>
    </w:p>
    <w:p w14:paraId="6E10CEF0" w14:textId="77777777" w:rsidR="00A54217" w:rsidRPr="00AD46D7" w:rsidRDefault="00A54217" w:rsidP="00A54217">
      <w:pPr>
        <w:rPr>
          <w:szCs w:val="22"/>
        </w:rPr>
      </w:pPr>
    </w:p>
    <w:p w14:paraId="15DFB125" w14:textId="77777777" w:rsidR="00A54217" w:rsidRPr="00F260F0" w:rsidRDefault="00A54217" w:rsidP="00365332">
      <w:pPr>
        <w:pStyle w:val="Style1"/>
        <w:ind w:left="851" w:hanging="851"/>
      </w:pPr>
      <w:r w:rsidRPr="00F260F0">
        <w:t>7.</w:t>
      </w:r>
      <w:r w:rsidRPr="00F260F0">
        <w:tab/>
        <w:t>MARKEDSFØRINGSTILLADELSESNUMMER (-NUMRE)</w:t>
      </w:r>
    </w:p>
    <w:p w14:paraId="419B97E8" w14:textId="77777777" w:rsidR="00A54217" w:rsidRPr="00F260F0" w:rsidRDefault="00A54217" w:rsidP="00A54217">
      <w:pPr>
        <w:rPr>
          <w:szCs w:val="22"/>
        </w:rPr>
      </w:pPr>
    </w:p>
    <w:p w14:paraId="091F735B" w14:textId="77777777" w:rsidR="00A54217" w:rsidRPr="006164E4" w:rsidRDefault="00A54217" w:rsidP="00365332">
      <w:pPr>
        <w:ind w:firstLine="851"/>
        <w:rPr>
          <w:szCs w:val="22"/>
        </w:rPr>
      </w:pPr>
      <w:bookmarkStart w:id="4" w:name="_Hlk144373245"/>
      <w:r w:rsidRPr="006164E4">
        <w:rPr>
          <w:szCs w:val="22"/>
        </w:rPr>
        <w:t>1,25 mg:</w:t>
      </w:r>
      <w:r w:rsidRPr="006164E4">
        <w:rPr>
          <w:szCs w:val="22"/>
        </w:rPr>
        <w:tab/>
        <w:t>55061</w:t>
      </w:r>
    </w:p>
    <w:p w14:paraId="169915E5" w14:textId="77777777" w:rsidR="00A54217" w:rsidRPr="006164E4" w:rsidRDefault="00A54217" w:rsidP="00365332">
      <w:pPr>
        <w:ind w:firstLine="851"/>
        <w:rPr>
          <w:szCs w:val="22"/>
        </w:rPr>
      </w:pPr>
      <w:r w:rsidRPr="006164E4">
        <w:rPr>
          <w:szCs w:val="22"/>
        </w:rPr>
        <w:t>2,5 mg:</w:t>
      </w:r>
      <w:r w:rsidRPr="006164E4">
        <w:rPr>
          <w:szCs w:val="22"/>
        </w:rPr>
        <w:tab/>
        <w:t>55062</w:t>
      </w:r>
    </w:p>
    <w:p w14:paraId="09E9AFA3" w14:textId="77777777" w:rsidR="00A54217" w:rsidRPr="006164E4" w:rsidRDefault="00A54217" w:rsidP="00365332">
      <w:pPr>
        <w:ind w:firstLine="851"/>
        <w:rPr>
          <w:szCs w:val="22"/>
        </w:rPr>
      </w:pPr>
      <w:r w:rsidRPr="006164E4">
        <w:rPr>
          <w:szCs w:val="22"/>
        </w:rPr>
        <w:t>5 mg:</w:t>
      </w:r>
      <w:r w:rsidRPr="006164E4">
        <w:rPr>
          <w:szCs w:val="22"/>
        </w:rPr>
        <w:tab/>
        <w:t>55063</w:t>
      </w:r>
    </w:p>
    <w:p w14:paraId="6503B197" w14:textId="77777777" w:rsidR="00A54217" w:rsidRDefault="00A54217" w:rsidP="00365332">
      <w:pPr>
        <w:ind w:firstLine="851"/>
        <w:rPr>
          <w:szCs w:val="22"/>
        </w:rPr>
      </w:pPr>
      <w:r w:rsidRPr="006164E4">
        <w:rPr>
          <w:szCs w:val="22"/>
        </w:rPr>
        <w:t>10 mg:</w:t>
      </w:r>
      <w:r w:rsidRPr="006164E4">
        <w:rPr>
          <w:szCs w:val="22"/>
        </w:rPr>
        <w:tab/>
        <w:t>55064</w:t>
      </w:r>
    </w:p>
    <w:bookmarkEnd w:id="0"/>
    <w:bookmarkEnd w:id="4"/>
    <w:p w14:paraId="59C0E298" w14:textId="77777777" w:rsidR="00A54217" w:rsidRDefault="00A54217" w:rsidP="00A54217">
      <w:pPr>
        <w:rPr>
          <w:szCs w:val="22"/>
        </w:rPr>
      </w:pPr>
    </w:p>
    <w:p w14:paraId="57C1BAE8" w14:textId="77777777" w:rsidR="00A54217" w:rsidRPr="00F260F0" w:rsidRDefault="00A54217" w:rsidP="00A54217">
      <w:pPr>
        <w:rPr>
          <w:szCs w:val="22"/>
        </w:rPr>
      </w:pPr>
    </w:p>
    <w:p w14:paraId="3E2C4061" w14:textId="77777777" w:rsidR="00A54217" w:rsidRPr="00F260F0" w:rsidRDefault="00A54217" w:rsidP="00365332">
      <w:pPr>
        <w:pStyle w:val="Style1"/>
        <w:ind w:left="851" w:hanging="851"/>
      </w:pPr>
      <w:r w:rsidRPr="00F260F0">
        <w:t>8.</w:t>
      </w:r>
      <w:r w:rsidRPr="00F260F0">
        <w:tab/>
        <w:t>DATO FOR FØRSTE TILLADELSE</w:t>
      </w:r>
    </w:p>
    <w:p w14:paraId="42AEAADF" w14:textId="77777777" w:rsidR="00A54217" w:rsidRPr="00F260F0" w:rsidRDefault="00A54217" w:rsidP="00A54217">
      <w:pPr>
        <w:rPr>
          <w:szCs w:val="22"/>
        </w:rPr>
      </w:pPr>
    </w:p>
    <w:p w14:paraId="41DDFA7D" w14:textId="77777777" w:rsidR="00A54217" w:rsidRDefault="00A54217" w:rsidP="00365332">
      <w:pPr>
        <w:ind w:firstLine="851"/>
        <w:rPr>
          <w:szCs w:val="22"/>
        </w:rPr>
      </w:pPr>
      <w:r w:rsidRPr="00F260F0">
        <w:t>Dato for første markedsføringstilladelse</w:t>
      </w:r>
      <w:r>
        <w:t>:</w:t>
      </w:r>
      <w:r>
        <w:rPr>
          <w:szCs w:val="22"/>
        </w:rPr>
        <w:t xml:space="preserve"> 02/06/2015</w:t>
      </w:r>
    </w:p>
    <w:p w14:paraId="7BDF6034" w14:textId="77777777" w:rsidR="00A54217" w:rsidRPr="00F260F0" w:rsidRDefault="00A54217" w:rsidP="00A54217">
      <w:pPr>
        <w:rPr>
          <w:szCs w:val="22"/>
        </w:rPr>
      </w:pPr>
    </w:p>
    <w:p w14:paraId="437AA014" w14:textId="77777777" w:rsidR="00A54217" w:rsidRPr="00F260F0" w:rsidRDefault="00A54217" w:rsidP="00A54217">
      <w:pPr>
        <w:rPr>
          <w:szCs w:val="22"/>
        </w:rPr>
      </w:pPr>
    </w:p>
    <w:p w14:paraId="525BFC67" w14:textId="77777777" w:rsidR="00A54217" w:rsidRPr="00F260F0" w:rsidRDefault="00A54217" w:rsidP="00365332">
      <w:pPr>
        <w:pStyle w:val="Style1"/>
        <w:ind w:left="851" w:hanging="851"/>
      </w:pPr>
      <w:r w:rsidRPr="00F260F0">
        <w:t>9.</w:t>
      </w:r>
      <w:r w:rsidRPr="00F260F0">
        <w:tab/>
        <w:t>DATO FOR SENESTE ÆNDRING AF PRODUKTRESUMÉET</w:t>
      </w:r>
    </w:p>
    <w:p w14:paraId="2DEECCCB" w14:textId="77777777" w:rsidR="00A54217" w:rsidRPr="00F260F0" w:rsidRDefault="00A54217" w:rsidP="00A54217">
      <w:pPr>
        <w:rPr>
          <w:szCs w:val="22"/>
        </w:rPr>
      </w:pPr>
    </w:p>
    <w:p w14:paraId="3D334543" w14:textId="756AB013" w:rsidR="00A54217" w:rsidRPr="00F260F0" w:rsidRDefault="00B837D8" w:rsidP="00365332">
      <w:pPr>
        <w:ind w:firstLine="851"/>
      </w:pPr>
      <w:r>
        <w:t>0</w:t>
      </w:r>
      <w:bookmarkStart w:id="5" w:name="_GoBack"/>
      <w:bookmarkEnd w:id="5"/>
      <w:r>
        <w:t>9</w:t>
      </w:r>
      <w:r w:rsidR="00365332">
        <w:t>/08/2024</w:t>
      </w:r>
    </w:p>
    <w:p w14:paraId="72F4FA0C" w14:textId="77777777" w:rsidR="00A54217" w:rsidRPr="00F260F0" w:rsidRDefault="00A54217" w:rsidP="00A54217">
      <w:pPr>
        <w:rPr>
          <w:szCs w:val="22"/>
        </w:rPr>
      </w:pPr>
    </w:p>
    <w:p w14:paraId="3B298EFA" w14:textId="77777777" w:rsidR="00A54217" w:rsidRPr="00F260F0" w:rsidRDefault="00A54217" w:rsidP="00A54217">
      <w:pPr>
        <w:rPr>
          <w:szCs w:val="22"/>
        </w:rPr>
      </w:pPr>
    </w:p>
    <w:p w14:paraId="445EE6F6" w14:textId="77777777" w:rsidR="00A54217" w:rsidRPr="00F260F0" w:rsidRDefault="00A54217" w:rsidP="00365332">
      <w:pPr>
        <w:pStyle w:val="Style1"/>
        <w:ind w:left="851" w:hanging="851"/>
      </w:pPr>
      <w:r w:rsidRPr="00F260F0">
        <w:t>10.</w:t>
      </w:r>
      <w:r w:rsidRPr="00F260F0">
        <w:tab/>
        <w:t>KLASSIFICERING AF VETERINÆRLÆGEMIDLER</w:t>
      </w:r>
    </w:p>
    <w:p w14:paraId="07CF328E" w14:textId="77777777" w:rsidR="00A54217" w:rsidRPr="00F260F0" w:rsidRDefault="00A54217" w:rsidP="00A54217">
      <w:pPr>
        <w:rPr>
          <w:szCs w:val="22"/>
        </w:rPr>
      </w:pPr>
    </w:p>
    <w:p w14:paraId="32D31421" w14:textId="77777777" w:rsidR="00A54217" w:rsidRPr="00F260F0" w:rsidRDefault="00A54217" w:rsidP="00365332">
      <w:pPr>
        <w:numPr>
          <w:ilvl w:val="12"/>
          <w:numId w:val="0"/>
        </w:numPr>
        <w:ind w:firstLine="851"/>
        <w:rPr>
          <w:szCs w:val="22"/>
        </w:rPr>
      </w:pPr>
      <w:r>
        <w:t>B</w:t>
      </w:r>
    </w:p>
    <w:p w14:paraId="66B805B6" w14:textId="77777777" w:rsidR="00A54217" w:rsidRPr="00F260F0" w:rsidRDefault="00A54217" w:rsidP="00A54217">
      <w:pPr>
        <w:ind w:right="-318"/>
        <w:rPr>
          <w:szCs w:val="22"/>
        </w:rPr>
      </w:pPr>
    </w:p>
    <w:p w14:paraId="3CBFFB26" w14:textId="77777777" w:rsidR="00A54217" w:rsidRPr="00F260F0" w:rsidRDefault="00A54217" w:rsidP="00365332">
      <w:pPr>
        <w:ind w:firstLine="851"/>
        <w:rPr>
          <w:szCs w:val="22"/>
        </w:rPr>
      </w:pPr>
      <w:r w:rsidRPr="00F260F0">
        <w:t>Der findes detaljerede oplysninger om dette veterinærlægemiddel i EU-lægemiddeldatabasen</w:t>
      </w:r>
      <w:r>
        <w:t xml:space="preserve">. </w:t>
      </w:r>
    </w:p>
    <w:p w14:paraId="2C12A717" w14:textId="77777777" w:rsidR="00A54217" w:rsidRPr="00F260F0" w:rsidRDefault="00A54217" w:rsidP="00A54217">
      <w:pPr>
        <w:rPr>
          <w:szCs w:val="22"/>
        </w:rPr>
      </w:pPr>
    </w:p>
    <w:p w14:paraId="62A0DF5E" w14:textId="77777777" w:rsidR="00246F75" w:rsidRPr="00DB75D4" w:rsidRDefault="00246F75" w:rsidP="00246F75"/>
    <w:p w14:paraId="50A5F3F6" w14:textId="77777777" w:rsidR="0003527F" w:rsidRPr="00246F75" w:rsidRDefault="0003527F" w:rsidP="00246F75"/>
    <w:sectPr w:rsidR="0003527F" w:rsidRPr="00246F7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5F3AB" w14:textId="77777777" w:rsidR="00246F75" w:rsidRDefault="00246F75">
      <w:r>
        <w:separator/>
      </w:r>
    </w:p>
  </w:endnote>
  <w:endnote w:type="continuationSeparator" w:id="0">
    <w:p w14:paraId="4E60246F" w14:textId="77777777" w:rsidR="00246F75" w:rsidRDefault="0024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5AF14" w14:textId="77777777" w:rsidR="004A62CC" w:rsidRDefault="004A62CC">
    <w:pPr>
      <w:pStyle w:val="Sidefod"/>
      <w:pBdr>
        <w:bottom w:val="single" w:sz="6" w:space="1" w:color="auto"/>
      </w:pBdr>
      <w:tabs>
        <w:tab w:val="clear" w:pos="4819"/>
        <w:tab w:val="left" w:pos="8647"/>
      </w:tabs>
      <w:rPr>
        <w:i/>
        <w:snapToGrid w:val="0"/>
        <w:sz w:val="18"/>
      </w:rPr>
    </w:pPr>
  </w:p>
  <w:p w14:paraId="2DDA4CF0" w14:textId="77777777" w:rsidR="004A62CC" w:rsidRDefault="004A62CC">
    <w:pPr>
      <w:pStyle w:val="Sidefod"/>
      <w:tabs>
        <w:tab w:val="clear" w:pos="4819"/>
        <w:tab w:val="left" w:pos="8647"/>
      </w:tabs>
      <w:rPr>
        <w:i/>
        <w:snapToGrid w:val="0"/>
        <w:sz w:val="18"/>
      </w:rPr>
    </w:pPr>
  </w:p>
  <w:p w14:paraId="2AC64F48"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46F75">
      <w:rPr>
        <w:i/>
        <w:noProof/>
        <w:snapToGrid w:val="0"/>
        <w:sz w:val="18"/>
      </w:rPr>
      <w:t>Dokument830</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324EB" w14:textId="77777777" w:rsidR="004A62CC" w:rsidRDefault="004A62CC">
    <w:pPr>
      <w:pStyle w:val="Sidefod"/>
      <w:pBdr>
        <w:bottom w:val="single" w:sz="6" w:space="1" w:color="auto"/>
      </w:pBdr>
      <w:tabs>
        <w:tab w:val="clear" w:pos="4819"/>
        <w:tab w:val="left" w:pos="8647"/>
      </w:tabs>
      <w:rPr>
        <w:i/>
        <w:snapToGrid w:val="0"/>
        <w:sz w:val="18"/>
      </w:rPr>
    </w:pPr>
  </w:p>
  <w:p w14:paraId="4A4C46A1" w14:textId="77777777" w:rsidR="004A62CC" w:rsidRDefault="004A62CC">
    <w:pPr>
      <w:pStyle w:val="Sidefod"/>
      <w:tabs>
        <w:tab w:val="clear" w:pos="4819"/>
        <w:tab w:val="left" w:pos="8647"/>
      </w:tabs>
      <w:rPr>
        <w:i/>
        <w:snapToGrid w:val="0"/>
        <w:sz w:val="18"/>
      </w:rPr>
    </w:pPr>
  </w:p>
  <w:p w14:paraId="6B3E609B"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46F75">
      <w:rPr>
        <w:i/>
        <w:noProof/>
        <w:snapToGrid w:val="0"/>
        <w:sz w:val="18"/>
      </w:rPr>
      <w:t>Dokument830</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7B52D" w14:textId="77777777" w:rsidR="00246F75" w:rsidRDefault="00246F75">
      <w:r>
        <w:separator/>
      </w:r>
    </w:p>
  </w:footnote>
  <w:footnote w:type="continuationSeparator" w:id="0">
    <w:p w14:paraId="77973203" w14:textId="77777777" w:rsidR="00246F75" w:rsidRDefault="0024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E108"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1BC6"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D50F4"/>
    <w:multiLevelType w:val="hybridMultilevel"/>
    <w:tmpl w:val="D206C4BC"/>
    <w:lvl w:ilvl="0" w:tplc="825C81F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75"/>
    <w:rsid w:val="0003527F"/>
    <w:rsid w:val="00063331"/>
    <w:rsid w:val="00065C7D"/>
    <w:rsid w:val="000C6CD4"/>
    <w:rsid w:val="000F1ABD"/>
    <w:rsid w:val="0011201F"/>
    <w:rsid w:val="001577E4"/>
    <w:rsid w:val="001858CA"/>
    <w:rsid w:val="001C4AEF"/>
    <w:rsid w:val="001D3CC5"/>
    <w:rsid w:val="00246F75"/>
    <w:rsid w:val="002F6864"/>
    <w:rsid w:val="00322BDE"/>
    <w:rsid w:val="00365332"/>
    <w:rsid w:val="003B3003"/>
    <w:rsid w:val="003C1E81"/>
    <w:rsid w:val="00406EE7"/>
    <w:rsid w:val="00407013"/>
    <w:rsid w:val="004A4804"/>
    <w:rsid w:val="004A62CC"/>
    <w:rsid w:val="0050748E"/>
    <w:rsid w:val="005555B1"/>
    <w:rsid w:val="00565A74"/>
    <w:rsid w:val="00575971"/>
    <w:rsid w:val="005B0036"/>
    <w:rsid w:val="005F5831"/>
    <w:rsid w:val="00662012"/>
    <w:rsid w:val="00666B01"/>
    <w:rsid w:val="006B1539"/>
    <w:rsid w:val="006D4B41"/>
    <w:rsid w:val="006F5621"/>
    <w:rsid w:val="007B2723"/>
    <w:rsid w:val="007E2A00"/>
    <w:rsid w:val="008010F2"/>
    <w:rsid w:val="00843E2D"/>
    <w:rsid w:val="00886815"/>
    <w:rsid w:val="009202AE"/>
    <w:rsid w:val="00932676"/>
    <w:rsid w:val="009D66C6"/>
    <w:rsid w:val="00A54217"/>
    <w:rsid w:val="00A83AF7"/>
    <w:rsid w:val="00A96525"/>
    <w:rsid w:val="00AE29E5"/>
    <w:rsid w:val="00AE5757"/>
    <w:rsid w:val="00AF466D"/>
    <w:rsid w:val="00B25EB8"/>
    <w:rsid w:val="00B837D8"/>
    <w:rsid w:val="00BC634B"/>
    <w:rsid w:val="00BF2AE0"/>
    <w:rsid w:val="00C479BF"/>
    <w:rsid w:val="00C65851"/>
    <w:rsid w:val="00D309DE"/>
    <w:rsid w:val="00D567AA"/>
    <w:rsid w:val="00DD6D71"/>
    <w:rsid w:val="00DF32BE"/>
    <w:rsid w:val="00E14F0A"/>
    <w:rsid w:val="00EB5778"/>
    <w:rsid w:val="00EE5253"/>
    <w:rsid w:val="00F450B5"/>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10A2A"/>
  <w15:chartTrackingRefBased/>
  <w15:docId w15:val="{F6E5FCC7-0727-4882-9A49-42B9A6E9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A54217"/>
    <w:pPr>
      <w:tabs>
        <w:tab w:val="left" w:pos="0"/>
      </w:tabs>
      <w:ind w:left="567" w:hanging="567"/>
    </w:pPr>
    <w:rPr>
      <w:b/>
      <w:sz w:val="22"/>
      <w:szCs w:val="22"/>
    </w:rPr>
  </w:style>
  <w:style w:type="paragraph" w:customStyle="1" w:styleId="Style5">
    <w:name w:val="Style5"/>
    <w:basedOn w:val="Normal"/>
    <w:qFormat/>
    <w:rsid w:val="00A54217"/>
    <w:pPr>
      <w:numPr>
        <w:ilvl w:val="12"/>
      </w:numPr>
    </w:pPr>
    <w:rPr>
      <w:sz w:val="22"/>
      <w:szCs w:val="22"/>
    </w:rPr>
  </w:style>
  <w:style w:type="character" w:customStyle="1" w:styleId="Flietext">
    <w:name w:val="Fließtext"/>
    <w:basedOn w:val="Standardskrifttypeiafsnit"/>
    <w:rsid w:val="00A5421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rPr>
  </w:style>
  <w:style w:type="paragraph" w:styleId="Korrektur">
    <w:name w:val="Revision"/>
    <w:hidden/>
    <w:uiPriority w:val="99"/>
    <w:semiHidden/>
    <w:rsid w:val="004A4804"/>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fd0b529-4a04-4616-88d2-531082d94bb8}" enabled="1" method="Standard" siteId="{e1f8af86-ee95-4718-bd0d-375b37366c83}" contentBits="0" removed="0"/>
</clbl:labelList>
</file>

<file path=docProps/app.xml><?xml version="1.0" encoding="utf-8"?>
<Properties xmlns="http://schemas.openxmlformats.org/officeDocument/2006/extended-properties" xmlns:vt="http://schemas.openxmlformats.org/officeDocument/2006/docPropsVTypes">
  <Template>Normal</Template>
  <TotalTime>57</TotalTime>
  <Pages>7</Pages>
  <Words>1820</Words>
  <Characters>12327</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2023110794 pkt. 3.2, 3.3, 3.6, 3.10.</dc:description>
  <cp:lastModifiedBy>Gitte Ronnovius</cp:lastModifiedBy>
  <cp:revision>5</cp:revision>
  <dcterms:created xsi:type="dcterms:W3CDTF">2024-08-09T04:58:00Z</dcterms:created>
  <dcterms:modified xsi:type="dcterms:W3CDTF">2024-08-09T10:59:00Z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