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8153E" w14:textId="77777777" w:rsidR="009B6F8E" w:rsidRPr="00576544" w:rsidRDefault="009B6F8E" w:rsidP="009B6F8E">
      <w:pPr>
        <w:rPr>
          <w:sz w:val="24"/>
          <w:szCs w:val="24"/>
        </w:rPr>
      </w:pPr>
      <w:bookmarkStart w:id="0" w:name="_GoBack"/>
      <w:bookmarkEnd w:id="0"/>
      <w:r w:rsidRPr="00576544">
        <w:rPr>
          <w:noProof/>
          <w:sz w:val="24"/>
          <w:szCs w:val="24"/>
          <w:lang w:eastAsia="da-DK"/>
        </w:rPr>
        <w:drawing>
          <wp:inline distT="0" distB="0" distL="0" distR="0" wp14:anchorId="2193E202" wp14:editId="41523B8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5F3E488" w14:textId="77777777" w:rsidR="009B6F8E" w:rsidRPr="00576544" w:rsidRDefault="009B6F8E" w:rsidP="009B6F8E">
      <w:pPr>
        <w:rPr>
          <w:sz w:val="24"/>
          <w:szCs w:val="24"/>
        </w:rPr>
      </w:pPr>
    </w:p>
    <w:p w14:paraId="38931CA9" w14:textId="01C4DD4E" w:rsidR="009B6F8E" w:rsidRPr="00576544" w:rsidRDefault="009B6F8E" w:rsidP="009B6F8E">
      <w:pPr>
        <w:tabs>
          <w:tab w:val="right" w:pos="9356"/>
        </w:tabs>
        <w:rPr>
          <w:b/>
          <w:sz w:val="24"/>
          <w:szCs w:val="24"/>
        </w:rPr>
      </w:pPr>
      <w:r w:rsidRPr="00576544">
        <w:rPr>
          <w:b/>
          <w:sz w:val="24"/>
          <w:szCs w:val="24"/>
        </w:rPr>
        <w:tab/>
      </w:r>
      <w:r w:rsidR="00DA3E75" w:rsidRPr="00576544">
        <w:rPr>
          <w:b/>
          <w:sz w:val="24"/>
          <w:szCs w:val="24"/>
        </w:rPr>
        <w:t>2</w:t>
      </w:r>
      <w:r w:rsidR="0016312B">
        <w:rPr>
          <w:b/>
          <w:sz w:val="24"/>
          <w:szCs w:val="24"/>
        </w:rPr>
        <w:t>4</w:t>
      </w:r>
      <w:r w:rsidR="00DA3E75" w:rsidRPr="00576544">
        <w:rPr>
          <w:b/>
          <w:sz w:val="24"/>
          <w:szCs w:val="24"/>
        </w:rPr>
        <w:t>. marts 2025</w:t>
      </w:r>
    </w:p>
    <w:p w14:paraId="09CA12C5" w14:textId="151A7437" w:rsidR="00250547" w:rsidRPr="00576544" w:rsidRDefault="00250547" w:rsidP="009B6F8E">
      <w:pPr>
        <w:rPr>
          <w:sz w:val="24"/>
          <w:szCs w:val="24"/>
        </w:rPr>
      </w:pPr>
    </w:p>
    <w:p w14:paraId="32E91DD9" w14:textId="342AECB1" w:rsidR="00DA3E75" w:rsidRPr="00576544" w:rsidRDefault="00DA3E75" w:rsidP="009B6F8E">
      <w:pPr>
        <w:rPr>
          <w:sz w:val="24"/>
          <w:szCs w:val="24"/>
        </w:rPr>
      </w:pPr>
    </w:p>
    <w:p w14:paraId="6DC71A7D" w14:textId="77777777" w:rsidR="00DA3E75" w:rsidRPr="00576544" w:rsidRDefault="00DA3E75" w:rsidP="009B6F8E">
      <w:pPr>
        <w:rPr>
          <w:sz w:val="24"/>
          <w:szCs w:val="24"/>
        </w:rPr>
      </w:pPr>
    </w:p>
    <w:p w14:paraId="283ED421" w14:textId="77777777" w:rsidR="009B6F8E" w:rsidRPr="00576544" w:rsidRDefault="009B6F8E" w:rsidP="009B6F8E">
      <w:pPr>
        <w:tabs>
          <w:tab w:val="left" w:pos="8222"/>
        </w:tabs>
        <w:jc w:val="center"/>
        <w:rPr>
          <w:b/>
          <w:sz w:val="24"/>
          <w:szCs w:val="24"/>
        </w:rPr>
      </w:pPr>
      <w:r w:rsidRPr="00576544">
        <w:rPr>
          <w:b/>
          <w:sz w:val="24"/>
          <w:szCs w:val="24"/>
        </w:rPr>
        <w:t>PRODUKTRESUMÉ</w:t>
      </w:r>
    </w:p>
    <w:p w14:paraId="0D5CB12F" w14:textId="77777777" w:rsidR="009B6F8E" w:rsidRPr="00576544" w:rsidRDefault="009B6F8E" w:rsidP="009B6F8E">
      <w:pPr>
        <w:tabs>
          <w:tab w:val="left" w:pos="8222"/>
        </w:tabs>
        <w:jc w:val="center"/>
        <w:rPr>
          <w:b/>
          <w:sz w:val="24"/>
          <w:szCs w:val="24"/>
        </w:rPr>
      </w:pPr>
    </w:p>
    <w:p w14:paraId="38061E95" w14:textId="77777777" w:rsidR="009B6F8E" w:rsidRPr="00576544" w:rsidRDefault="009B6F8E" w:rsidP="009B6F8E">
      <w:pPr>
        <w:tabs>
          <w:tab w:val="left" w:pos="8222"/>
        </w:tabs>
        <w:jc w:val="center"/>
        <w:rPr>
          <w:b/>
          <w:sz w:val="24"/>
          <w:szCs w:val="24"/>
        </w:rPr>
      </w:pPr>
      <w:r w:rsidRPr="00576544">
        <w:rPr>
          <w:b/>
          <w:sz w:val="24"/>
          <w:szCs w:val="24"/>
        </w:rPr>
        <w:t>for</w:t>
      </w:r>
    </w:p>
    <w:p w14:paraId="5DD0110B" w14:textId="77777777" w:rsidR="009B6F8E" w:rsidRPr="00576544" w:rsidRDefault="009B6F8E" w:rsidP="009B6F8E">
      <w:pPr>
        <w:tabs>
          <w:tab w:val="left" w:pos="8222"/>
        </w:tabs>
        <w:jc w:val="center"/>
        <w:rPr>
          <w:b/>
          <w:sz w:val="24"/>
          <w:szCs w:val="24"/>
        </w:rPr>
      </w:pPr>
    </w:p>
    <w:p w14:paraId="122AC7D0" w14:textId="77777777" w:rsidR="009B6F8E" w:rsidRPr="00576544" w:rsidRDefault="009B6F8E" w:rsidP="009B6F8E">
      <w:pPr>
        <w:tabs>
          <w:tab w:val="left" w:pos="8222"/>
        </w:tabs>
        <w:jc w:val="center"/>
        <w:rPr>
          <w:b/>
          <w:sz w:val="24"/>
          <w:szCs w:val="24"/>
        </w:rPr>
      </w:pPr>
      <w:proofErr w:type="spellStart"/>
      <w:r w:rsidRPr="00576544">
        <w:rPr>
          <w:b/>
          <w:sz w:val="24"/>
          <w:szCs w:val="24"/>
        </w:rPr>
        <w:t>Vetmulin</w:t>
      </w:r>
      <w:proofErr w:type="spellEnd"/>
      <w:r w:rsidRPr="00576544">
        <w:rPr>
          <w:b/>
          <w:sz w:val="24"/>
          <w:szCs w:val="24"/>
        </w:rPr>
        <w:t>, opløsning til anvendelse i drikkevand</w:t>
      </w:r>
    </w:p>
    <w:p w14:paraId="0E4030DC" w14:textId="77777777" w:rsidR="009B6F8E" w:rsidRPr="00576544" w:rsidRDefault="009B6F8E" w:rsidP="009B6F8E">
      <w:pPr>
        <w:tabs>
          <w:tab w:val="left" w:pos="8222"/>
        </w:tabs>
        <w:jc w:val="both"/>
        <w:rPr>
          <w:sz w:val="24"/>
          <w:szCs w:val="24"/>
        </w:rPr>
      </w:pPr>
    </w:p>
    <w:p w14:paraId="4F9F2789" w14:textId="77777777" w:rsidR="00913DF5" w:rsidRPr="00576544" w:rsidRDefault="00913DF5" w:rsidP="00913DF5">
      <w:pPr>
        <w:jc w:val="both"/>
        <w:rPr>
          <w:sz w:val="24"/>
          <w:szCs w:val="24"/>
        </w:rPr>
      </w:pPr>
    </w:p>
    <w:p w14:paraId="27BC94C7" w14:textId="77777777" w:rsidR="00913DF5" w:rsidRPr="00576544" w:rsidRDefault="00913DF5" w:rsidP="00913DF5">
      <w:pPr>
        <w:ind w:left="851" w:hanging="851"/>
        <w:rPr>
          <w:b/>
          <w:sz w:val="24"/>
          <w:szCs w:val="24"/>
        </w:rPr>
      </w:pPr>
      <w:r w:rsidRPr="00576544">
        <w:rPr>
          <w:b/>
          <w:sz w:val="24"/>
          <w:szCs w:val="24"/>
        </w:rPr>
        <w:t>0.</w:t>
      </w:r>
      <w:r w:rsidRPr="00576544">
        <w:rPr>
          <w:b/>
          <w:sz w:val="24"/>
          <w:szCs w:val="24"/>
        </w:rPr>
        <w:tab/>
        <w:t>D.SP.NR.</w:t>
      </w:r>
    </w:p>
    <w:p w14:paraId="08A46040" w14:textId="77777777" w:rsidR="00913DF5" w:rsidRPr="00576544" w:rsidRDefault="00913DF5" w:rsidP="00913DF5">
      <w:pPr>
        <w:tabs>
          <w:tab w:val="left" w:pos="8222"/>
        </w:tabs>
        <w:ind w:left="851"/>
        <w:rPr>
          <w:sz w:val="24"/>
          <w:szCs w:val="24"/>
        </w:rPr>
      </w:pPr>
      <w:r w:rsidRPr="00576544">
        <w:rPr>
          <w:sz w:val="24"/>
          <w:szCs w:val="24"/>
        </w:rPr>
        <w:t>25101</w:t>
      </w:r>
    </w:p>
    <w:p w14:paraId="06C800C1" w14:textId="77777777" w:rsidR="00913DF5" w:rsidRPr="00576544" w:rsidRDefault="00913DF5" w:rsidP="00913DF5">
      <w:pPr>
        <w:ind w:left="851"/>
        <w:rPr>
          <w:sz w:val="24"/>
          <w:szCs w:val="24"/>
        </w:rPr>
      </w:pPr>
    </w:p>
    <w:p w14:paraId="41D19147" w14:textId="77777777" w:rsidR="00913DF5" w:rsidRPr="00576544" w:rsidRDefault="00913DF5" w:rsidP="00913DF5">
      <w:pPr>
        <w:ind w:left="851" w:hanging="851"/>
        <w:rPr>
          <w:b/>
          <w:sz w:val="24"/>
          <w:szCs w:val="24"/>
        </w:rPr>
      </w:pPr>
      <w:r w:rsidRPr="00576544">
        <w:rPr>
          <w:b/>
          <w:sz w:val="24"/>
          <w:szCs w:val="24"/>
        </w:rPr>
        <w:t>1.</w:t>
      </w:r>
      <w:r w:rsidRPr="00576544">
        <w:rPr>
          <w:b/>
          <w:sz w:val="24"/>
          <w:szCs w:val="24"/>
        </w:rPr>
        <w:tab/>
        <w:t>VETERINÆRLÆGEMIDLETS NAVN</w:t>
      </w:r>
    </w:p>
    <w:p w14:paraId="1FBF2E3B" w14:textId="77777777" w:rsidR="00913DF5" w:rsidRPr="00576544" w:rsidRDefault="00913DF5" w:rsidP="00913DF5">
      <w:pPr>
        <w:tabs>
          <w:tab w:val="left" w:pos="8222"/>
        </w:tabs>
        <w:ind w:left="851"/>
        <w:rPr>
          <w:sz w:val="24"/>
          <w:szCs w:val="24"/>
        </w:rPr>
      </w:pPr>
      <w:proofErr w:type="spellStart"/>
      <w:r w:rsidRPr="00576544">
        <w:rPr>
          <w:sz w:val="24"/>
          <w:szCs w:val="24"/>
        </w:rPr>
        <w:t>Vetmulin</w:t>
      </w:r>
      <w:proofErr w:type="spellEnd"/>
    </w:p>
    <w:p w14:paraId="0B787AD3" w14:textId="77777777" w:rsidR="00913DF5" w:rsidRPr="00576544" w:rsidRDefault="00913DF5" w:rsidP="00913DF5">
      <w:pPr>
        <w:ind w:left="851"/>
        <w:rPr>
          <w:sz w:val="24"/>
          <w:szCs w:val="24"/>
        </w:rPr>
      </w:pPr>
    </w:p>
    <w:p w14:paraId="280CAA80" w14:textId="77777777" w:rsidR="00913DF5" w:rsidRPr="00576544" w:rsidRDefault="00913DF5" w:rsidP="00913DF5">
      <w:pPr>
        <w:ind w:left="851"/>
        <w:rPr>
          <w:sz w:val="24"/>
          <w:szCs w:val="24"/>
        </w:rPr>
      </w:pPr>
      <w:r w:rsidRPr="00576544">
        <w:rPr>
          <w:sz w:val="24"/>
          <w:szCs w:val="24"/>
        </w:rPr>
        <w:t>Lægemiddelform: Opløsning til anvendelse i drikkevand</w:t>
      </w:r>
    </w:p>
    <w:p w14:paraId="08F5ACAC" w14:textId="77777777" w:rsidR="00913DF5" w:rsidRPr="00576544" w:rsidRDefault="00913DF5" w:rsidP="00913DF5">
      <w:pPr>
        <w:ind w:left="851"/>
        <w:rPr>
          <w:sz w:val="24"/>
          <w:szCs w:val="24"/>
        </w:rPr>
      </w:pPr>
      <w:r w:rsidRPr="00576544">
        <w:rPr>
          <w:sz w:val="24"/>
          <w:szCs w:val="24"/>
        </w:rPr>
        <w:t>Styrke(r): 125 mg/ml</w:t>
      </w:r>
    </w:p>
    <w:p w14:paraId="53EDF07D" w14:textId="77777777" w:rsidR="00913DF5" w:rsidRPr="00576544" w:rsidRDefault="00913DF5" w:rsidP="00913DF5">
      <w:pPr>
        <w:ind w:left="851"/>
        <w:rPr>
          <w:sz w:val="24"/>
          <w:szCs w:val="24"/>
        </w:rPr>
      </w:pPr>
    </w:p>
    <w:p w14:paraId="6A2FD97A" w14:textId="77777777" w:rsidR="00913DF5" w:rsidRPr="00576544" w:rsidRDefault="00913DF5" w:rsidP="00913DF5">
      <w:pPr>
        <w:ind w:left="851" w:hanging="851"/>
        <w:rPr>
          <w:b/>
          <w:sz w:val="24"/>
          <w:szCs w:val="24"/>
        </w:rPr>
      </w:pPr>
      <w:r w:rsidRPr="00576544">
        <w:rPr>
          <w:b/>
          <w:sz w:val="24"/>
          <w:szCs w:val="24"/>
        </w:rPr>
        <w:t>2.</w:t>
      </w:r>
      <w:r w:rsidRPr="00576544">
        <w:rPr>
          <w:b/>
          <w:sz w:val="24"/>
          <w:szCs w:val="24"/>
        </w:rPr>
        <w:tab/>
        <w:t>KVALITATIV OG KVANTITATIV SAMMENSÆTNING</w:t>
      </w:r>
    </w:p>
    <w:p w14:paraId="7A0F3D8B" w14:textId="77777777" w:rsidR="00DA3E75" w:rsidRPr="00576544" w:rsidRDefault="00DA3E75" w:rsidP="00DA3E75">
      <w:pPr>
        <w:ind w:left="851"/>
        <w:rPr>
          <w:sz w:val="24"/>
          <w:szCs w:val="24"/>
        </w:rPr>
      </w:pPr>
      <w:r w:rsidRPr="00576544">
        <w:rPr>
          <w:sz w:val="24"/>
          <w:szCs w:val="24"/>
        </w:rPr>
        <w:t>Hver ml indeholder:</w:t>
      </w:r>
    </w:p>
    <w:p w14:paraId="35B8FE86" w14:textId="77777777" w:rsidR="00DA3E75" w:rsidRPr="00576544" w:rsidRDefault="00DA3E75" w:rsidP="00DA3E75">
      <w:pPr>
        <w:ind w:left="851"/>
        <w:rPr>
          <w:sz w:val="24"/>
          <w:szCs w:val="24"/>
        </w:rPr>
      </w:pPr>
    </w:p>
    <w:p w14:paraId="15092C6E" w14:textId="77777777" w:rsidR="00DA3E75" w:rsidRPr="00576544" w:rsidRDefault="00DA3E75" w:rsidP="00DA3E75">
      <w:pPr>
        <w:ind w:left="851"/>
        <w:rPr>
          <w:b/>
          <w:sz w:val="24"/>
          <w:szCs w:val="24"/>
        </w:rPr>
      </w:pPr>
      <w:r w:rsidRPr="00576544">
        <w:rPr>
          <w:b/>
          <w:sz w:val="24"/>
          <w:szCs w:val="24"/>
        </w:rPr>
        <w:t>Aktivt stof:</w:t>
      </w:r>
    </w:p>
    <w:p w14:paraId="1BFA31F5" w14:textId="77777777" w:rsidR="00DA3E75" w:rsidRPr="00576544" w:rsidRDefault="00DA3E75" w:rsidP="00DA3E75">
      <w:pPr>
        <w:tabs>
          <w:tab w:val="left" w:pos="3969"/>
        </w:tabs>
        <w:ind w:left="851"/>
        <w:rPr>
          <w:sz w:val="24"/>
          <w:szCs w:val="24"/>
        </w:rPr>
      </w:pPr>
      <w:proofErr w:type="spellStart"/>
      <w:r w:rsidRPr="00576544">
        <w:rPr>
          <w:sz w:val="24"/>
          <w:szCs w:val="24"/>
        </w:rPr>
        <w:t>Tiamulinhydrogenfumarat</w:t>
      </w:r>
      <w:proofErr w:type="spellEnd"/>
      <w:r w:rsidRPr="00576544">
        <w:rPr>
          <w:sz w:val="24"/>
          <w:szCs w:val="24"/>
        </w:rPr>
        <w:tab/>
        <w:t>125 mg</w:t>
      </w:r>
    </w:p>
    <w:p w14:paraId="685B4E1B" w14:textId="77777777" w:rsidR="00DA3E75" w:rsidRPr="00576544" w:rsidRDefault="00DA3E75" w:rsidP="00DA3E75">
      <w:pPr>
        <w:ind w:left="851"/>
        <w:rPr>
          <w:sz w:val="24"/>
          <w:szCs w:val="24"/>
        </w:rPr>
      </w:pPr>
      <w:r w:rsidRPr="00576544">
        <w:rPr>
          <w:sz w:val="24"/>
          <w:szCs w:val="24"/>
        </w:rPr>
        <w:t xml:space="preserve">(svarende til </w:t>
      </w:r>
      <w:proofErr w:type="spellStart"/>
      <w:r w:rsidRPr="00576544">
        <w:rPr>
          <w:sz w:val="24"/>
          <w:szCs w:val="24"/>
        </w:rPr>
        <w:t>tiamulin</w:t>
      </w:r>
      <w:proofErr w:type="spellEnd"/>
      <w:r w:rsidRPr="00576544">
        <w:rPr>
          <w:sz w:val="24"/>
          <w:szCs w:val="24"/>
        </w:rPr>
        <w:t xml:space="preserve"> 101,2 mg)</w:t>
      </w:r>
    </w:p>
    <w:p w14:paraId="11D0544D" w14:textId="77777777" w:rsidR="00DA3E75" w:rsidRPr="00576544" w:rsidRDefault="00DA3E75" w:rsidP="00DA3E75">
      <w:pPr>
        <w:ind w:left="851"/>
        <w:rPr>
          <w:sz w:val="24"/>
          <w:szCs w:val="24"/>
        </w:rPr>
      </w:pPr>
    </w:p>
    <w:p w14:paraId="003ED66F" w14:textId="77777777" w:rsidR="00DA3E75" w:rsidRPr="00576544" w:rsidRDefault="00DA3E75" w:rsidP="00DA3E75">
      <w:pPr>
        <w:ind w:left="851"/>
        <w:rPr>
          <w:b/>
          <w:sz w:val="24"/>
          <w:szCs w:val="24"/>
        </w:rPr>
      </w:pPr>
      <w:r w:rsidRPr="00576544">
        <w:rPr>
          <w:b/>
          <w:sz w:val="24"/>
          <w:szCs w:val="24"/>
        </w:rPr>
        <w:t>Hjælpestoffer:</w:t>
      </w:r>
    </w:p>
    <w:p w14:paraId="05B5063E" w14:textId="77777777" w:rsidR="00DA3E75" w:rsidRPr="00576544" w:rsidRDefault="00DA3E75" w:rsidP="00DA3E75">
      <w:pPr>
        <w:tabs>
          <w:tab w:val="left" w:pos="1304"/>
        </w:tabs>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9"/>
        <w:gridCol w:w="4249"/>
      </w:tblGrid>
      <w:tr w:rsidR="00DA3E75" w:rsidRPr="00576544" w14:paraId="05586F19" w14:textId="77777777" w:rsidTr="00DA3E75">
        <w:tc>
          <w:tcPr>
            <w:tcW w:w="4539" w:type="dxa"/>
            <w:tcBorders>
              <w:top w:val="single" w:sz="4" w:space="0" w:color="000000"/>
              <w:left w:val="single" w:sz="4" w:space="0" w:color="000000"/>
              <w:bottom w:val="single" w:sz="4" w:space="0" w:color="000000"/>
              <w:right w:val="single" w:sz="4" w:space="0" w:color="000000"/>
            </w:tcBorders>
            <w:vAlign w:val="center"/>
            <w:hideMark/>
          </w:tcPr>
          <w:p w14:paraId="0CBD288F" w14:textId="77777777" w:rsidR="00DA3E75" w:rsidRPr="00576544" w:rsidRDefault="00DA3E75">
            <w:pPr>
              <w:spacing w:before="60" w:after="60"/>
              <w:rPr>
                <w:b/>
                <w:bCs/>
                <w:iCs/>
                <w:sz w:val="24"/>
                <w:szCs w:val="24"/>
              </w:rPr>
            </w:pPr>
            <w:r w:rsidRPr="00576544">
              <w:rPr>
                <w:b/>
                <w:bCs/>
                <w:iCs/>
                <w:sz w:val="24"/>
                <w:szCs w:val="24"/>
              </w:rPr>
              <w:t>Kvalitativ sammensætning af hjælpestoffer og andre bestanddele</w:t>
            </w:r>
          </w:p>
        </w:tc>
        <w:tc>
          <w:tcPr>
            <w:tcW w:w="4249" w:type="dxa"/>
            <w:tcBorders>
              <w:top w:val="single" w:sz="4" w:space="0" w:color="000000"/>
              <w:left w:val="single" w:sz="4" w:space="0" w:color="000000"/>
              <w:bottom w:val="single" w:sz="4" w:space="0" w:color="000000"/>
              <w:right w:val="single" w:sz="4" w:space="0" w:color="000000"/>
            </w:tcBorders>
            <w:vAlign w:val="center"/>
            <w:hideMark/>
          </w:tcPr>
          <w:p w14:paraId="4FC9A1FE" w14:textId="77777777" w:rsidR="00DA3E75" w:rsidRPr="00576544" w:rsidRDefault="00DA3E75">
            <w:pPr>
              <w:spacing w:before="60" w:after="60"/>
              <w:rPr>
                <w:b/>
                <w:bCs/>
                <w:iCs/>
                <w:sz w:val="24"/>
                <w:szCs w:val="24"/>
              </w:rPr>
            </w:pPr>
            <w:r w:rsidRPr="00576544">
              <w:rPr>
                <w:b/>
                <w:bCs/>
                <w:iCs/>
                <w:sz w:val="24"/>
                <w:szCs w:val="24"/>
              </w:rPr>
              <w:t>Kvantitativ sammensætning, hvis oplysningen er vigtig for korrekt administration af veterinærlægemidlet</w:t>
            </w:r>
          </w:p>
        </w:tc>
      </w:tr>
      <w:tr w:rsidR="00DA3E75" w:rsidRPr="00576544" w14:paraId="42790FD1" w14:textId="77777777" w:rsidTr="00DA3E75">
        <w:tc>
          <w:tcPr>
            <w:tcW w:w="4539" w:type="dxa"/>
            <w:tcBorders>
              <w:top w:val="single" w:sz="4" w:space="0" w:color="000000"/>
              <w:left w:val="single" w:sz="4" w:space="0" w:color="000000"/>
              <w:bottom w:val="single" w:sz="4" w:space="0" w:color="000000"/>
              <w:right w:val="single" w:sz="4" w:space="0" w:color="000000"/>
            </w:tcBorders>
            <w:vAlign w:val="center"/>
            <w:hideMark/>
          </w:tcPr>
          <w:p w14:paraId="2CAAB766" w14:textId="77777777" w:rsidR="00DA3E75" w:rsidRPr="00576544" w:rsidRDefault="00DA3E75">
            <w:pPr>
              <w:spacing w:before="60" w:after="60"/>
              <w:ind w:left="567" w:hanging="567"/>
              <w:rPr>
                <w:iCs/>
                <w:sz w:val="24"/>
                <w:szCs w:val="24"/>
              </w:rPr>
            </w:pPr>
            <w:proofErr w:type="spellStart"/>
            <w:r w:rsidRPr="00576544">
              <w:rPr>
                <w:sz w:val="24"/>
                <w:szCs w:val="24"/>
              </w:rPr>
              <w:t>Methylparahydroxybenzoat</w:t>
            </w:r>
            <w:proofErr w:type="spellEnd"/>
            <w:r w:rsidRPr="00576544">
              <w:rPr>
                <w:sz w:val="24"/>
                <w:szCs w:val="24"/>
              </w:rPr>
              <w:t xml:space="preserve"> (E218)</w:t>
            </w:r>
          </w:p>
        </w:tc>
        <w:tc>
          <w:tcPr>
            <w:tcW w:w="4249" w:type="dxa"/>
            <w:tcBorders>
              <w:top w:val="single" w:sz="4" w:space="0" w:color="000000"/>
              <w:left w:val="single" w:sz="4" w:space="0" w:color="000000"/>
              <w:bottom w:val="single" w:sz="4" w:space="0" w:color="000000"/>
              <w:right w:val="single" w:sz="4" w:space="0" w:color="000000"/>
            </w:tcBorders>
            <w:vAlign w:val="center"/>
            <w:hideMark/>
          </w:tcPr>
          <w:p w14:paraId="2C4A8911" w14:textId="77777777" w:rsidR="00DA3E75" w:rsidRPr="00576544" w:rsidRDefault="00DA3E75">
            <w:pPr>
              <w:spacing w:before="60" w:after="60"/>
              <w:rPr>
                <w:iCs/>
                <w:sz w:val="24"/>
                <w:szCs w:val="24"/>
              </w:rPr>
            </w:pPr>
            <w:r w:rsidRPr="00576544">
              <w:rPr>
                <w:sz w:val="24"/>
                <w:szCs w:val="24"/>
              </w:rPr>
              <w:t>0,90 mg</w:t>
            </w:r>
          </w:p>
        </w:tc>
      </w:tr>
      <w:tr w:rsidR="00DA3E75" w:rsidRPr="00576544" w14:paraId="433C7913" w14:textId="77777777" w:rsidTr="00DA3E75">
        <w:tc>
          <w:tcPr>
            <w:tcW w:w="4539" w:type="dxa"/>
            <w:tcBorders>
              <w:top w:val="single" w:sz="4" w:space="0" w:color="000000"/>
              <w:left w:val="single" w:sz="4" w:space="0" w:color="000000"/>
              <w:bottom w:val="single" w:sz="4" w:space="0" w:color="000000"/>
              <w:right w:val="single" w:sz="4" w:space="0" w:color="000000"/>
            </w:tcBorders>
            <w:vAlign w:val="center"/>
            <w:hideMark/>
          </w:tcPr>
          <w:p w14:paraId="39609912" w14:textId="77777777" w:rsidR="00DA3E75" w:rsidRPr="00576544" w:rsidRDefault="00DA3E75">
            <w:pPr>
              <w:spacing w:before="60" w:after="60"/>
              <w:rPr>
                <w:iCs/>
                <w:sz w:val="24"/>
                <w:szCs w:val="24"/>
              </w:rPr>
            </w:pPr>
            <w:proofErr w:type="spellStart"/>
            <w:r w:rsidRPr="00576544">
              <w:rPr>
                <w:sz w:val="24"/>
                <w:szCs w:val="24"/>
              </w:rPr>
              <w:t>Propylparahydroxybenzoat</w:t>
            </w:r>
            <w:proofErr w:type="spellEnd"/>
          </w:p>
        </w:tc>
        <w:tc>
          <w:tcPr>
            <w:tcW w:w="4249" w:type="dxa"/>
            <w:tcBorders>
              <w:top w:val="single" w:sz="4" w:space="0" w:color="000000"/>
              <w:left w:val="single" w:sz="4" w:space="0" w:color="000000"/>
              <w:bottom w:val="single" w:sz="4" w:space="0" w:color="000000"/>
              <w:right w:val="single" w:sz="4" w:space="0" w:color="000000"/>
            </w:tcBorders>
            <w:vAlign w:val="center"/>
            <w:hideMark/>
          </w:tcPr>
          <w:p w14:paraId="49DD20B4" w14:textId="77777777" w:rsidR="00DA3E75" w:rsidRPr="00576544" w:rsidRDefault="00DA3E75">
            <w:pPr>
              <w:spacing w:before="60" w:after="60"/>
              <w:rPr>
                <w:iCs/>
                <w:sz w:val="24"/>
                <w:szCs w:val="24"/>
              </w:rPr>
            </w:pPr>
            <w:r w:rsidRPr="00576544">
              <w:rPr>
                <w:sz w:val="24"/>
                <w:szCs w:val="24"/>
              </w:rPr>
              <w:t>0,10 mg</w:t>
            </w:r>
          </w:p>
        </w:tc>
      </w:tr>
      <w:tr w:rsidR="00DA3E75" w:rsidRPr="00576544" w14:paraId="1F430393" w14:textId="77777777" w:rsidTr="00DA3E75">
        <w:tc>
          <w:tcPr>
            <w:tcW w:w="4539" w:type="dxa"/>
            <w:tcBorders>
              <w:top w:val="single" w:sz="4" w:space="0" w:color="000000"/>
              <w:left w:val="single" w:sz="4" w:space="0" w:color="000000"/>
              <w:bottom w:val="single" w:sz="4" w:space="0" w:color="000000"/>
              <w:right w:val="single" w:sz="4" w:space="0" w:color="000000"/>
            </w:tcBorders>
            <w:vAlign w:val="center"/>
            <w:hideMark/>
          </w:tcPr>
          <w:p w14:paraId="01FDA606" w14:textId="77777777" w:rsidR="00DA3E75" w:rsidRPr="00576544" w:rsidRDefault="00DA3E75">
            <w:pPr>
              <w:spacing w:before="60" w:after="60"/>
              <w:rPr>
                <w:iCs/>
                <w:sz w:val="24"/>
                <w:szCs w:val="24"/>
              </w:rPr>
            </w:pPr>
            <w:proofErr w:type="spellStart"/>
            <w:r w:rsidRPr="00576544">
              <w:rPr>
                <w:color w:val="222222"/>
                <w:sz w:val="24"/>
                <w:szCs w:val="24"/>
                <w:shd w:val="clear" w:color="auto" w:fill="FFFFFF"/>
                <w:lang w:eastAsia="nl-NL"/>
              </w:rPr>
              <w:t>Dinatriumphosphat</w:t>
            </w:r>
            <w:proofErr w:type="spellEnd"/>
            <w:r w:rsidRPr="00576544">
              <w:rPr>
                <w:color w:val="222222"/>
                <w:sz w:val="24"/>
                <w:szCs w:val="24"/>
                <w:shd w:val="clear" w:color="auto" w:fill="FFFFFF"/>
                <w:lang w:eastAsia="nl-NL"/>
              </w:rPr>
              <w:t xml:space="preserve">, vandfri </w:t>
            </w:r>
          </w:p>
        </w:tc>
        <w:tc>
          <w:tcPr>
            <w:tcW w:w="4249" w:type="dxa"/>
            <w:tcBorders>
              <w:top w:val="single" w:sz="4" w:space="0" w:color="000000"/>
              <w:left w:val="single" w:sz="4" w:space="0" w:color="000000"/>
              <w:bottom w:val="single" w:sz="4" w:space="0" w:color="000000"/>
              <w:right w:val="single" w:sz="4" w:space="0" w:color="000000"/>
            </w:tcBorders>
            <w:vAlign w:val="center"/>
          </w:tcPr>
          <w:p w14:paraId="7AD6D8AB" w14:textId="77777777" w:rsidR="00DA3E75" w:rsidRPr="00576544" w:rsidRDefault="00DA3E75">
            <w:pPr>
              <w:spacing w:before="60" w:after="60"/>
              <w:rPr>
                <w:iCs/>
                <w:sz w:val="24"/>
                <w:szCs w:val="24"/>
              </w:rPr>
            </w:pPr>
          </w:p>
        </w:tc>
      </w:tr>
      <w:tr w:rsidR="00DA3E75" w:rsidRPr="00576544" w14:paraId="690B2B61" w14:textId="77777777" w:rsidTr="00DA3E75">
        <w:tc>
          <w:tcPr>
            <w:tcW w:w="4539" w:type="dxa"/>
            <w:tcBorders>
              <w:top w:val="single" w:sz="4" w:space="0" w:color="000000"/>
              <w:left w:val="single" w:sz="4" w:space="0" w:color="000000"/>
              <w:bottom w:val="single" w:sz="4" w:space="0" w:color="000000"/>
              <w:right w:val="single" w:sz="4" w:space="0" w:color="000000"/>
            </w:tcBorders>
            <w:vAlign w:val="center"/>
            <w:hideMark/>
          </w:tcPr>
          <w:p w14:paraId="68ECD4B9" w14:textId="77777777" w:rsidR="00DA3E75" w:rsidRPr="00576544" w:rsidRDefault="00DA3E75">
            <w:pPr>
              <w:spacing w:before="60" w:after="60"/>
              <w:ind w:left="567" w:hanging="567"/>
              <w:rPr>
                <w:iCs/>
                <w:sz w:val="24"/>
                <w:szCs w:val="24"/>
              </w:rPr>
            </w:pPr>
            <w:proofErr w:type="spellStart"/>
            <w:r w:rsidRPr="00576544">
              <w:rPr>
                <w:color w:val="222222"/>
                <w:sz w:val="24"/>
                <w:szCs w:val="24"/>
                <w:shd w:val="clear" w:color="auto" w:fill="FFFFFF"/>
                <w:lang w:eastAsia="nl-NL"/>
              </w:rPr>
              <w:t>Ethanol</w:t>
            </w:r>
            <w:proofErr w:type="spellEnd"/>
            <w:r w:rsidRPr="00576544">
              <w:rPr>
                <w:color w:val="222222"/>
                <w:sz w:val="24"/>
                <w:szCs w:val="24"/>
                <w:shd w:val="clear" w:color="auto" w:fill="FFFFFF"/>
                <w:lang w:eastAsia="nl-NL"/>
              </w:rPr>
              <w:t xml:space="preserve"> 96%</w:t>
            </w:r>
          </w:p>
        </w:tc>
        <w:tc>
          <w:tcPr>
            <w:tcW w:w="4249" w:type="dxa"/>
            <w:tcBorders>
              <w:top w:val="single" w:sz="4" w:space="0" w:color="000000"/>
              <w:left w:val="single" w:sz="4" w:space="0" w:color="000000"/>
              <w:bottom w:val="single" w:sz="4" w:space="0" w:color="000000"/>
              <w:right w:val="single" w:sz="4" w:space="0" w:color="000000"/>
            </w:tcBorders>
            <w:vAlign w:val="center"/>
          </w:tcPr>
          <w:p w14:paraId="60A9B17E" w14:textId="77777777" w:rsidR="00DA3E75" w:rsidRPr="00576544" w:rsidRDefault="00DA3E75">
            <w:pPr>
              <w:spacing w:before="60" w:after="60"/>
              <w:rPr>
                <w:iCs/>
                <w:sz w:val="24"/>
                <w:szCs w:val="24"/>
              </w:rPr>
            </w:pPr>
          </w:p>
        </w:tc>
      </w:tr>
      <w:tr w:rsidR="00DA3E75" w:rsidRPr="00576544" w14:paraId="71D76CD3" w14:textId="77777777" w:rsidTr="00DA3E75">
        <w:tc>
          <w:tcPr>
            <w:tcW w:w="4539" w:type="dxa"/>
            <w:tcBorders>
              <w:top w:val="single" w:sz="4" w:space="0" w:color="000000"/>
              <w:left w:val="single" w:sz="4" w:space="0" w:color="000000"/>
              <w:bottom w:val="single" w:sz="4" w:space="0" w:color="000000"/>
              <w:right w:val="single" w:sz="4" w:space="0" w:color="000000"/>
            </w:tcBorders>
            <w:vAlign w:val="center"/>
            <w:hideMark/>
          </w:tcPr>
          <w:p w14:paraId="6C8C04B3" w14:textId="77777777" w:rsidR="00DA3E75" w:rsidRPr="00576544" w:rsidRDefault="00DA3E75">
            <w:pPr>
              <w:spacing w:before="60" w:after="60"/>
              <w:rPr>
                <w:iCs/>
                <w:sz w:val="24"/>
                <w:szCs w:val="24"/>
              </w:rPr>
            </w:pPr>
            <w:r w:rsidRPr="00576544">
              <w:rPr>
                <w:color w:val="222222"/>
                <w:sz w:val="24"/>
                <w:szCs w:val="24"/>
                <w:shd w:val="clear" w:color="auto" w:fill="FFFFFF"/>
                <w:lang w:eastAsia="nl-NL"/>
              </w:rPr>
              <w:t>Vand til injektionsvæsker</w:t>
            </w:r>
          </w:p>
        </w:tc>
        <w:tc>
          <w:tcPr>
            <w:tcW w:w="4249" w:type="dxa"/>
            <w:tcBorders>
              <w:top w:val="single" w:sz="4" w:space="0" w:color="000000"/>
              <w:left w:val="single" w:sz="4" w:space="0" w:color="000000"/>
              <w:bottom w:val="single" w:sz="4" w:space="0" w:color="000000"/>
              <w:right w:val="single" w:sz="4" w:space="0" w:color="000000"/>
            </w:tcBorders>
            <w:vAlign w:val="center"/>
          </w:tcPr>
          <w:p w14:paraId="529D2669" w14:textId="77777777" w:rsidR="00DA3E75" w:rsidRPr="00576544" w:rsidRDefault="00DA3E75">
            <w:pPr>
              <w:spacing w:before="60" w:after="60"/>
              <w:rPr>
                <w:iCs/>
                <w:sz w:val="24"/>
                <w:szCs w:val="24"/>
              </w:rPr>
            </w:pPr>
          </w:p>
        </w:tc>
      </w:tr>
    </w:tbl>
    <w:p w14:paraId="7076BCF5" w14:textId="77777777" w:rsidR="00DA3E75" w:rsidRPr="00576544" w:rsidRDefault="00DA3E75" w:rsidP="00DA3E75">
      <w:pPr>
        <w:ind w:left="851"/>
        <w:rPr>
          <w:sz w:val="24"/>
          <w:szCs w:val="24"/>
        </w:rPr>
      </w:pPr>
    </w:p>
    <w:p w14:paraId="163BE8D6" w14:textId="77777777" w:rsidR="00DA3E75" w:rsidRPr="00576544" w:rsidRDefault="00DA3E75" w:rsidP="00DA3E75">
      <w:pPr>
        <w:ind w:left="851"/>
        <w:rPr>
          <w:sz w:val="24"/>
          <w:szCs w:val="24"/>
        </w:rPr>
      </w:pPr>
      <w:r w:rsidRPr="00576544">
        <w:rPr>
          <w:sz w:val="24"/>
          <w:szCs w:val="24"/>
        </w:rPr>
        <w:t>Klar, farveløs til let gul opløsning.</w:t>
      </w:r>
    </w:p>
    <w:p w14:paraId="32FA5A9B" w14:textId="77777777" w:rsidR="00913DF5" w:rsidRPr="00576544" w:rsidRDefault="00913DF5" w:rsidP="00913DF5">
      <w:pPr>
        <w:ind w:left="851"/>
        <w:rPr>
          <w:sz w:val="24"/>
          <w:szCs w:val="24"/>
        </w:rPr>
      </w:pPr>
    </w:p>
    <w:p w14:paraId="4972AC99" w14:textId="7A3A53DB" w:rsidR="003F459E" w:rsidRDefault="003F459E">
      <w:pPr>
        <w:rPr>
          <w:sz w:val="24"/>
          <w:szCs w:val="24"/>
        </w:rPr>
      </w:pPr>
      <w:r>
        <w:rPr>
          <w:sz w:val="24"/>
          <w:szCs w:val="24"/>
        </w:rPr>
        <w:br w:type="page"/>
      </w:r>
    </w:p>
    <w:p w14:paraId="2AAFF88A" w14:textId="77777777" w:rsidR="00913DF5" w:rsidRPr="00576544" w:rsidRDefault="00913DF5" w:rsidP="00913DF5">
      <w:pPr>
        <w:ind w:left="851"/>
        <w:rPr>
          <w:sz w:val="24"/>
          <w:szCs w:val="24"/>
        </w:rPr>
      </w:pPr>
    </w:p>
    <w:p w14:paraId="4F543D93" w14:textId="77777777" w:rsidR="00913DF5" w:rsidRPr="00576544" w:rsidRDefault="00913DF5" w:rsidP="00913DF5">
      <w:pPr>
        <w:ind w:left="851" w:hanging="851"/>
        <w:rPr>
          <w:b/>
          <w:sz w:val="24"/>
          <w:szCs w:val="24"/>
        </w:rPr>
      </w:pPr>
      <w:r w:rsidRPr="00576544">
        <w:rPr>
          <w:b/>
          <w:sz w:val="24"/>
          <w:szCs w:val="24"/>
        </w:rPr>
        <w:t>3.</w:t>
      </w:r>
      <w:r w:rsidRPr="00576544">
        <w:rPr>
          <w:b/>
          <w:sz w:val="24"/>
          <w:szCs w:val="24"/>
        </w:rPr>
        <w:tab/>
        <w:t>KLINISKE OPLYSNINGER</w:t>
      </w:r>
    </w:p>
    <w:p w14:paraId="6DCB21FE" w14:textId="77777777" w:rsidR="00913DF5" w:rsidRPr="00576544" w:rsidRDefault="00913DF5" w:rsidP="00913DF5">
      <w:pPr>
        <w:tabs>
          <w:tab w:val="left" w:pos="851"/>
        </w:tabs>
        <w:ind w:left="851"/>
        <w:rPr>
          <w:sz w:val="24"/>
          <w:szCs w:val="24"/>
        </w:rPr>
      </w:pPr>
    </w:p>
    <w:p w14:paraId="24E3F533" w14:textId="77777777" w:rsidR="00913DF5" w:rsidRPr="00576544" w:rsidRDefault="00913DF5" w:rsidP="00913DF5">
      <w:pPr>
        <w:ind w:left="851" w:hanging="851"/>
        <w:rPr>
          <w:b/>
          <w:sz w:val="24"/>
          <w:szCs w:val="24"/>
          <w:u w:val="single"/>
        </w:rPr>
      </w:pPr>
      <w:r w:rsidRPr="00576544">
        <w:rPr>
          <w:b/>
          <w:sz w:val="24"/>
          <w:szCs w:val="24"/>
        </w:rPr>
        <w:t>3.1</w:t>
      </w:r>
      <w:r w:rsidRPr="00576544">
        <w:rPr>
          <w:b/>
          <w:sz w:val="24"/>
          <w:szCs w:val="24"/>
        </w:rPr>
        <w:tab/>
        <w:t>Dyrearter, som lægemidlet er beregnet til</w:t>
      </w:r>
    </w:p>
    <w:p w14:paraId="50385107" w14:textId="77777777" w:rsidR="00576544" w:rsidRDefault="00DA3E75" w:rsidP="00DA3E75">
      <w:pPr>
        <w:ind w:left="851"/>
        <w:rPr>
          <w:sz w:val="24"/>
          <w:szCs w:val="24"/>
        </w:rPr>
      </w:pPr>
      <w:r w:rsidRPr="00576544">
        <w:rPr>
          <w:sz w:val="24"/>
          <w:szCs w:val="24"/>
        </w:rPr>
        <w:t xml:space="preserve">Svin. </w:t>
      </w:r>
    </w:p>
    <w:p w14:paraId="603E34D8" w14:textId="5B651736" w:rsidR="00DA3E75" w:rsidRPr="00576544" w:rsidRDefault="00DA3E75" w:rsidP="00DA3E75">
      <w:pPr>
        <w:ind w:left="851"/>
        <w:rPr>
          <w:sz w:val="24"/>
          <w:szCs w:val="24"/>
        </w:rPr>
      </w:pPr>
      <w:r w:rsidRPr="00576544">
        <w:rPr>
          <w:sz w:val="24"/>
          <w:szCs w:val="24"/>
        </w:rPr>
        <w:t>Høns (æglæggende høns).</w:t>
      </w:r>
    </w:p>
    <w:p w14:paraId="09C10EF6" w14:textId="77777777" w:rsidR="00913DF5" w:rsidRPr="00576544" w:rsidRDefault="00913DF5" w:rsidP="00913DF5">
      <w:pPr>
        <w:ind w:left="851"/>
        <w:rPr>
          <w:sz w:val="24"/>
          <w:szCs w:val="24"/>
        </w:rPr>
      </w:pPr>
    </w:p>
    <w:p w14:paraId="4E67B72D" w14:textId="77777777" w:rsidR="00913DF5" w:rsidRPr="00576544" w:rsidRDefault="00913DF5" w:rsidP="00913DF5">
      <w:pPr>
        <w:pStyle w:val="Sidehoved"/>
        <w:tabs>
          <w:tab w:val="clear" w:pos="4819"/>
        </w:tabs>
        <w:ind w:left="851" w:hanging="851"/>
        <w:rPr>
          <w:b/>
          <w:szCs w:val="24"/>
        </w:rPr>
      </w:pPr>
      <w:r w:rsidRPr="00576544">
        <w:rPr>
          <w:b/>
          <w:szCs w:val="24"/>
        </w:rPr>
        <w:t>3.2</w:t>
      </w:r>
      <w:r w:rsidRPr="00576544">
        <w:rPr>
          <w:b/>
          <w:szCs w:val="24"/>
        </w:rPr>
        <w:tab/>
        <w:t>Terapeutiske indikationer for hver dyreart, som lægemidlet er beregnet til</w:t>
      </w:r>
    </w:p>
    <w:p w14:paraId="28C927EC" w14:textId="77777777" w:rsidR="00DA3E75" w:rsidRPr="00576544" w:rsidRDefault="00DA3E75" w:rsidP="00576544">
      <w:pPr>
        <w:ind w:left="851"/>
        <w:rPr>
          <w:sz w:val="24"/>
          <w:szCs w:val="24"/>
        </w:rPr>
      </w:pPr>
      <w:r w:rsidRPr="00576544">
        <w:rPr>
          <w:sz w:val="24"/>
          <w:szCs w:val="24"/>
        </w:rPr>
        <w:t>Svin:</w:t>
      </w:r>
    </w:p>
    <w:p w14:paraId="480D49D9" w14:textId="77777777" w:rsidR="00DA3E75" w:rsidRPr="00576544" w:rsidRDefault="00DA3E75" w:rsidP="00576544">
      <w:pPr>
        <w:pStyle w:val="Listeafsnit"/>
        <w:numPr>
          <w:ilvl w:val="0"/>
          <w:numId w:val="4"/>
        </w:numPr>
        <w:tabs>
          <w:tab w:val="clear" w:pos="567"/>
        </w:tabs>
        <w:spacing w:line="240" w:lineRule="auto"/>
        <w:ind w:left="1276" w:hanging="425"/>
        <w:rPr>
          <w:sz w:val="24"/>
          <w:szCs w:val="24"/>
        </w:rPr>
      </w:pPr>
      <w:r w:rsidRPr="00576544">
        <w:rPr>
          <w:sz w:val="24"/>
          <w:szCs w:val="24"/>
        </w:rPr>
        <w:t xml:space="preserve">Behandling af svinedysenteri forårsaget af </w:t>
      </w:r>
      <w:proofErr w:type="spellStart"/>
      <w:r w:rsidRPr="00576544">
        <w:rPr>
          <w:sz w:val="24"/>
          <w:szCs w:val="24"/>
        </w:rPr>
        <w:t>tiamulinfølsomme</w:t>
      </w:r>
      <w:proofErr w:type="spellEnd"/>
      <w:r w:rsidRPr="00576544">
        <w:rPr>
          <w:sz w:val="24"/>
          <w:szCs w:val="24"/>
        </w:rPr>
        <w:t xml:space="preserve"> </w:t>
      </w:r>
      <w:proofErr w:type="spellStart"/>
      <w:r w:rsidRPr="00576544">
        <w:rPr>
          <w:i/>
          <w:sz w:val="24"/>
          <w:szCs w:val="24"/>
        </w:rPr>
        <w:t>Brachyspira</w:t>
      </w:r>
      <w:proofErr w:type="spellEnd"/>
      <w:r w:rsidRPr="00576544">
        <w:rPr>
          <w:i/>
          <w:sz w:val="24"/>
          <w:szCs w:val="24"/>
        </w:rPr>
        <w:t xml:space="preserve"> </w:t>
      </w:r>
      <w:proofErr w:type="spellStart"/>
      <w:r w:rsidRPr="00576544">
        <w:rPr>
          <w:i/>
          <w:sz w:val="24"/>
          <w:szCs w:val="24"/>
        </w:rPr>
        <w:t>hyodysenteriae</w:t>
      </w:r>
      <w:proofErr w:type="spellEnd"/>
      <w:r w:rsidRPr="00576544">
        <w:rPr>
          <w:sz w:val="24"/>
          <w:szCs w:val="24"/>
        </w:rPr>
        <w:t>. Sygdommens tilstedeværelse i besætningen skal fastslås, før veterinærlægemidlet tages i brug.</w:t>
      </w:r>
    </w:p>
    <w:p w14:paraId="40D6DDC1" w14:textId="77777777" w:rsidR="00DA3E75" w:rsidRPr="00576544" w:rsidRDefault="00DA3E75" w:rsidP="00576544">
      <w:pPr>
        <w:ind w:left="1276" w:hanging="425"/>
        <w:rPr>
          <w:sz w:val="24"/>
          <w:szCs w:val="24"/>
        </w:rPr>
      </w:pPr>
    </w:p>
    <w:p w14:paraId="0E05F960" w14:textId="77777777" w:rsidR="00DA3E75" w:rsidRPr="00576544" w:rsidRDefault="00DA3E75" w:rsidP="00576544">
      <w:pPr>
        <w:pStyle w:val="Listeafsnit"/>
        <w:numPr>
          <w:ilvl w:val="0"/>
          <w:numId w:val="4"/>
        </w:numPr>
        <w:tabs>
          <w:tab w:val="clear" w:pos="567"/>
        </w:tabs>
        <w:spacing w:line="240" w:lineRule="auto"/>
        <w:ind w:left="1276" w:hanging="425"/>
        <w:rPr>
          <w:sz w:val="24"/>
          <w:szCs w:val="24"/>
        </w:rPr>
      </w:pPr>
      <w:r w:rsidRPr="00576544">
        <w:rPr>
          <w:sz w:val="24"/>
          <w:szCs w:val="24"/>
        </w:rPr>
        <w:t xml:space="preserve">Behandling af </w:t>
      </w:r>
      <w:proofErr w:type="spellStart"/>
      <w:r w:rsidRPr="00576544">
        <w:rPr>
          <w:sz w:val="24"/>
          <w:szCs w:val="24"/>
        </w:rPr>
        <w:t>porcin</w:t>
      </w:r>
      <w:proofErr w:type="spellEnd"/>
      <w:r w:rsidRPr="00576544">
        <w:rPr>
          <w:sz w:val="24"/>
          <w:szCs w:val="24"/>
        </w:rPr>
        <w:t xml:space="preserve"> </w:t>
      </w:r>
      <w:proofErr w:type="spellStart"/>
      <w:r w:rsidRPr="00576544">
        <w:rPr>
          <w:sz w:val="24"/>
          <w:szCs w:val="24"/>
        </w:rPr>
        <w:t>colonic</w:t>
      </w:r>
      <w:proofErr w:type="spellEnd"/>
      <w:r w:rsidRPr="00576544">
        <w:rPr>
          <w:sz w:val="24"/>
          <w:szCs w:val="24"/>
        </w:rPr>
        <w:t xml:space="preserve"> </w:t>
      </w:r>
      <w:proofErr w:type="spellStart"/>
      <w:r w:rsidRPr="00576544">
        <w:rPr>
          <w:sz w:val="24"/>
          <w:szCs w:val="24"/>
        </w:rPr>
        <w:t>spirochaetose</w:t>
      </w:r>
      <w:proofErr w:type="spellEnd"/>
      <w:r w:rsidRPr="00576544">
        <w:rPr>
          <w:sz w:val="24"/>
          <w:szCs w:val="24"/>
        </w:rPr>
        <w:t xml:space="preserve"> (</w:t>
      </w:r>
      <w:proofErr w:type="spellStart"/>
      <w:r w:rsidRPr="00576544">
        <w:rPr>
          <w:sz w:val="24"/>
          <w:szCs w:val="24"/>
        </w:rPr>
        <w:t>spirokætal</w:t>
      </w:r>
      <w:proofErr w:type="spellEnd"/>
      <w:r w:rsidRPr="00576544">
        <w:rPr>
          <w:sz w:val="24"/>
          <w:szCs w:val="24"/>
        </w:rPr>
        <w:t xml:space="preserve"> diarre eller colitis) </w:t>
      </w:r>
      <w:proofErr w:type="spellStart"/>
      <w:r w:rsidRPr="00576544">
        <w:rPr>
          <w:sz w:val="24"/>
          <w:szCs w:val="24"/>
        </w:rPr>
        <w:t>forårsaget</w:t>
      </w:r>
      <w:proofErr w:type="spellEnd"/>
      <w:r w:rsidRPr="00576544">
        <w:rPr>
          <w:sz w:val="24"/>
          <w:szCs w:val="24"/>
        </w:rPr>
        <w:t xml:space="preserve"> af </w:t>
      </w:r>
      <w:proofErr w:type="spellStart"/>
      <w:r w:rsidRPr="00576544">
        <w:rPr>
          <w:sz w:val="24"/>
          <w:szCs w:val="24"/>
        </w:rPr>
        <w:t>tiamulinfølsomme</w:t>
      </w:r>
      <w:proofErr w:type="spellEnd"/>
      <w:r w:rsidRPr="00576544">
        <w:rPr>
          <w:sz w:val="24"/>
          <w:szCs w:val="24"/>
        </w:rPr>
        <w:t xml:space="preserve"> </w:t>
      </w:r>
      <w:proofErr w:type="spellStart"/>
      <w:r w:rsidRPr="00576544">
        <w:rPr>
          <w:i/>
          <w:sz w:val="24"/>
          <w:szCs w:val="24"/>
        </w:rPr>
        <w:t>Brachyspira</w:t>
      </w:r>
      <w:proofErr w:type="spellEnd"/>
      <w:r w:rsidRPr="00576544">
        <w:rPr>
          <w:i/>
          <w:sz w:val="24"/>
          <w:szCs w:val="24"/>
        </w:rPr>
        <w:t xml:space="preserve"> </w:t>
      </w:r>
      <w:proofErr w:type="spellStart"/>
      <w:r w:rsidRPr="00576544">
        <w:rPr>
          <w:i/>
          <w:sz w:val="24"/>
          <w:szCs w:val="24"/>
        </w:rPr>
        <w:t>pilosicoli</w:t>
      </w:r>
      <w:proofErr w:type="spellEnd"/>
      <w:r w:rsidRPr="00576544">
        <w:rPr>
          <w:sz w:val="24"/>
          <w:szCs w:val="24"/>
        </w:rPr>
        <w:t>. Sygdommens tilstedeværelse i besætningen skal fastslås, før veterinærlægemidlet tages i brug.</w:t>
      </w:r>
    </w:p>
    <w:p w14:paraId="163C9D90" w14:textId="77777777" w:rsidR="00DA3E75" w:rsidRPr="00576544" w:rsidRDefault="00DA3E75" w:rsidP="00576544">
      <w:pPr>
        <w:ind w:left="1276" w:hanging="425"/>
        <w:rPr>
          <w:sz w:val="24"/>
          <w:szCs w:val="24"/>
        </w:rPr>
      </w:pPr>
    </w:p>
    <w:p w14:paraId="2E754DF1" w14:textId="77777777" w:rsidR="00DA3E75" w:rsidRPr="00576544" w:rsidRDefault="00DA3E75" w:rsidP="00576544">
      <w:pPr>
        <w:pStyle w:val="Listeafsnit"/>
        <w:numPr>
          <w:ilvl w:val="0"/>
          <w:numId w:val="4"/>
        </w:numPr>
        <w:tabs>
          <w:tab w:val="clear" w:pos="567"/>
        </w:tabs>
        <w:spacing w:line="240" w:lineRule="auto"/>
        <w:ind w:left="1276" w:hanging="425"/>
        <w:rPr>
          <w:sz w:val="24"/>
          <w:szCs w:val="24"/>
        </w:rPr>
      </w:pPr>
      <w:r w:rsidRPr="00576544">
        <w:rPr>
          <w:sz w:val="24"/>
          <w:szCs w:val="24"/>
        </w:rPr>
        <w:t xml:space="preserve">Behandling af </w:t>
      </w:r>
      <w:proofErr w:type="spellStart"/>
      <w:r w:rsidRPr="00576544">
        <w:rPr>
          <w:sz w:val="24"/>
          <w:szCs w:val="24"/>
        </w:rPr>
        <w:t>porcin</w:t>
      </w:r>
      <w:proofErr w:type="spellEnd"/>
      <w:r w:rsidRPr="00576544">
        <w:rPr>
          <w:sz w:val="24"/>
          <w:szCs w:val="24"/>
        </w:rPr>
        <w:t xml:space="preserve"> </w:t>
      </w:r>
      <w:proofErr w:type="spellStart"/>
      <w:r w:rsidRPr="00576544">
        <w:rPr>
          <w:sz w:val="24"/>
          <w:szCs w:val="24"/>
        </w:rPr>
        <w:t>proliferativ</w:t>
      </w:r>
      <w:proofErr w:type="spellEnd"/>
      <w:r w:rsidRPr="00576544">
        <w:rPr>
          <w:sz w:val="24"/>
          <w:szCs w:val="24"/>
        </w:rPr>
        <w:t xml:space="preserve"> </w:t>
      </w:r>
      <w:proofErr w:type="spellStart"/>
      <w:r w:rsidRPr="00576544">
        <w:rPr>
          <w:sz w:val="24"/>
          <w:szCs w:val="24"/>
        </w:rPr>
        <w:t>enteritis</w:t>
      </w:r>
      <w:proofErr w:type="spellEnd"/>
      <w:r w:rsidRPr="00576544">
        <w:rPr>
          <w:sz w:val="24"/>
          <w:szCs w:val="24"/>
        </w:rPr>
        <w:t xml:space="preserve"> (</w:t>
      </w:r>
      <w:proofErr w:type="spellStart"/>
      <w:r w:rsidRPr="00576544">
        <w:rPr>
          <w:sz w:val="24"/>
          <w:szCs w:val="24"/>
        </w:rPr>
        <w:t>ileitis</w:t>
      </w:r>
      <w:proofErr w:type="spellEnd"/>
      <w:r w:rsidRPr="00576544">
        <w:rPr>
          <w:sz w:val="24"/>
          <w:szCs w:val="24"/>
        </w:rPr>
        <w:t xml:space="preserve">) forårsaget af </w:t>
      </w:r>
      <w:proofErr w:type="spellStart"/>
      <w:r w:rsidRPr="00576544">
        <w:rPr>
          <w:sz w:val="24"/>
          <w:szCs w:val="24"/>
        </w:rPr>
        <w:t>tiamulinfølsomme</w:t>
      </w:r>
      <w:proofErr w:type="spellEnd"/>
      <w:r w:rsidRPr="00576544">
        <w:rPr>
          <w:sz w:val="24"/>
          <w:szCs w:val="24"/>
        </w:rPr>
        <w:t xml:space="preserve"> </w:t>
      </w:r>
      <w:proofErr w:type="spellStart"/>
      <w:r w:rsidRPr="00576544">
        <w:rPr>
          <w:i/>
          <w:sz w:val="24"/>
          <w:szCs w:val="24"/>
        </w:rPr>
        <w:t>Lawsonia</w:t>
      </w:r>
      <w:proofErr w:type="spellEnd"/>
      <w:r w:rsidRPr="00576544">
        <w:rPr>
          <w:i/>
          <w:sz w:val="24"/>
          <w:szCs w:val="24"/>
        </w:rPr>
        <w:t xml:space="preserve"> </w:t>
      </w:r>
      <w:proofErr w:type="spellStart"/>
      <w:r w:rsidRPr="00576544">
        <w:rPr>
          <w:i/>
          <w:sz w:val="24"/>
          <w:szCs w:val="24"/>
        </w:rPr>
        <w:t>intracellularis</w:t>
      </w:r>
      <w:proofErr w:type="spellEnd"/>
      <w:r w:rsidRPr="00576544">
        <w:rPr>
          <w:i/>
          <w:sz w:val="24"/>
          <w:szCs w:val="24"/>
        </w:rPr>
        <w:t>.</w:t>
      </w:r>
      <w:r w:rsidRPr="00576544">
        <w:rPr>
          <w:sz w:val="24"/>
          <w:szCs w:val="24"/>
        </w:rPr>
        <w:t xml:space="preserve"> Sygdommens tilstedeværelse i besætningen skal fastslås, før veterinærlægemidlet tages i brug.</w:t>
      </w:r>
      <w:r w:rsidRPr="00576544">
        <w:rPr>
          <w:i/>
          <w:sz w:val="24"/>
          <w:szCs w:val="24"/>
        </w:rPr>
        <w:t xml:space="preserve"> </w:t>
      </w:r>
    </w:p>
    <w:p w14:paraId="653BEBF8" w14:textId="77777777" w:rsidR="00DA3E75" w:rsidRPr="00576544" w:rsidRDefault="00DA3E75" w:rsidP="00576544">
      <w:pPr>
        <w:ind w:left="1276" w:hanging="425"/>
        <w:rPr>
          <w:sz w:val="24"/>
          <w:szCs w:val="24"/>
        </w:rPr>
      </w:pPr>
    </w:p>
    <w:p w14:paraId="46D865A1" w14:textId="77777777" w:rsidR="00DA3E75" w:rsidRPr="00576544" w:rsidRDefault="00DA3E75" w:rsidP="00576544">
      <w:pPr>
        <w:pStyle w:val="Listeafsnit"/>
        <w:numPr>
          <w:ilvl w:val="0"/>
          <w:numId w:val="4"/>
        </w:numPr>
        <w:tabs>
          <w:tab w:val="clear" w:pos="567"/>
        </w:tabs>
        <w:spacing w:line="240" w:lineRule="auto"/>
        <w:ind w:left="1276" w:hanging="425"/>
        <w:rPr>
          <w:sz w:val="24"/>
          <w:szCs w:val="24"/>
        </w:rPr>
      </w:pPr>
      <w:r w:rsidRPr="00576544">
        <w:rPr>
          <w:sz w:val="24"/>
          <w:szCs w:val="24"/>
        </w:rPr>
        <w:t xml:space="preserve">Behandling og </w:t>
      </w:r>
      <w:proofErr w:type="spellStart"/>
      <w:r w:rsidRPr="00576544">
        <w:rPr>
          <w:sz w:val="24"/>
          <w:szCs w:val="24"/>
        </w:rPr>
        <w:t>metafylakse</w:t>
      </w:r>
      <w:proofErr w:type="spellEnd"/>
      <w:r w:rsidRPr="00576544">
        <w:rPr>
          <w:sz w:val="24"/>
          <w:szCs w:val="24"/>
        </w:rPr>
        <w:t xml:space="preserve"> af </w:t>
      </w:r>
      <w:proofErr w:type="spellStart"/>
      <w:r w:rsidRPr="00576544">
        <w:rPr>
          <w:sz w:val="24"/>
          <w:szCs w:val="24"/>
        </w:rPr>
        <w:t>enzootisk</w:t>
      </w:r>
      <w:proofErr w:type="spellEnd"/>
      <w:r w:rsidRPr="00576544">
        <w:rPr>
          <w:sz w:val="24"/>
          <w:szCs w:val="24"/>
        </w:rPr>
        <w:t xml:space="preserve"> pneumoni forårsaget af </w:t>
      </w:r>
      <w:proofErr w:type="spellStart"/>
      <w:r w:rsidRPr="00576544">
        <w:rPr>
          <w:sz w:val="24"/>
          <w:szCs w:val="24"/>
        </w:rPr>
        <w:t>tiamulinfølsomme</w:t>
      </w:r>
      <w:proofErr w:type="spellEnd"/>
      <w:r w:rsidRPr="00576544">
        <w:rPr>
          <w:sz w:val="24"/>
          <w:szCs w:val="24"/>
        </w:rPr>
        <w:t xml:space="preserve"> </w:t>
      </w:r>
      <w:proofErr w:type="spellStart"/>
      <w:r w:rsidRPr="00576544">
        <w:rPr>
          <w:i/>
          <w:sz w:val="24"/>
          <w:szCs w:val="24"/>
        </w:rPr>
        <w:t>Mycoplasma</w:t>
      </w:r>
      <w:proofErr w:type="spellEnd"/>
      <w:r w:rsidRPr="00576544">
        <w:rPr>
          <w:i/>
          <w:sz w:val="24"/>
          <w:szCs w:val="24"/>
        </w:rPr>
        <w:t xml:space="preserve"> </w:t>
      </w:r>
      <w:proofErr w:type="spellStart"/>
      <w:r w:rsidRPr="00576544">
        <w:rPr>
          <w:i/>
          <w:sz w:val="24"/>
          <w:szCs w:val="24"/>
        </w:rPr>
        <w:t>hyopneumoniae</w:t>
      </w:r>
      <w:proofErr w:type="spellEnd"/>
      <w:r w:rsidRPr="00576544">
        <w:rPr>
          <w:sz w:val="24"/>
          <w:szCs w:val="24"/>
        </w:rPr>
        <w:t xml:space="preserve">, herunder infektioner, der er kompliceret af </w:t>
      </w:r>
      <w:proofErr w:type="spellStart"/>
      <w:r w:rsidRPr="00576544">
        <w:rPr>
          <w:sz w:val="24"/>
          <w:szCs w:val="24"/>
        </w:rPr>
        <w:t>tiamulinfølsomme</w:t>
      </w:r>
      <w:proofErr w:type="spellEnd"/>
      <w:r w:rsidRPr="00576544">
        <w:rPr>
          <w:sz w:val="24"/>
          <w:szCs w:val="24"/>
        </w:rPr>
        <w:t xml:space="preserve"> </w:t>
      </w:r>
      <w:proofErr w:type="spellStart"/>
      <w:r w:rsidRPr="00576544">
        <w:rPr>
          <w:i/>
          <w:sz w:val="24"/>
          <w:szCs w:val="24"/>
        </w:rPr>
        <w:t>Pasteurella</w:t>
      </w:r>
      <w:proofErr w:type="spellEnd"/>
      <w:r w:rsidRPr="00576544">
        <w:rPr>
          <w:i/>
          <w:sz w:val="24"/>
          <w:szCs w:val="24"/>
        </w:rPr>
        <w:t xml:space="preserve"> </w:t>
      </w:r>
      <w:proofErr w:type="spellStart"/>
      <w:r w:rsidRPr="00576544">
        <w:rPr>
          <w:i/>
          <w:sz w:val="24"/>
          <w:szCs w:val="24"/>
        </w:rPr>
        <w:t>multocida</w:t>
      </w:r>
      <w:proofErr w:type="spellEnd"/>
      <w:r w:rsidRPr="00576544">
        <w:rPr>
          <w:sz w:val="24"/>
          <w:szCs w:val="24"/>
        </w:rPr>
        <w:t>. Sygdommens tilstedeværelse i besætningen skal fastslås, før veterinærlægemidlet tages i brug.</w:t>
      </w:r>
    </w:p>
    <w:p w14:paraId="7D8D3110" w14:textId="77777777" w:rsidR="00576544" w:rsidRDefault="00576544" w:rsidP="00576544">
      <w:pPr>
        <w:ind w:left="851"/>
        <w:rPr>
          <w:sz w:val="24"/>
          <w:szCs w:val="24"/>
          <w:u w:val="single"/>
        </w:rPr>
      </w:pPr>
    </w:p>
    <w:p w14:paraId="32CC65F9" w14:textId="1B894E4A" w:rsidR="00DA3E75" w:rsidRPr="00576544" w:rsidRDefault="00DA3E75" w:rsidP="00576544">
      <w:pPr>
        <w:ind w:left="851"/>
        <w:rPr>
          <w:sz w:val="24"/>
          <w:szCs w:val="24"/>
        </w:rPr>
      </w:pPr>
      <w:r w:rsidRPr="00576544">
        <w:rPr>
          <w:sz w:val="24"/>
          <w:szCs w:val="24"/>
          <w:u w:val="single"/>
        </w:rPr>
        <w:t>Høns (æglæggende høns):</w:t>
      </w:r>
    </w:p>
    <w:p w14:paraId="6670E2C9" w14:textId="77777777" w:rsidR="00DA3E75" w:rsidRPr="00576544" w:rsidRDefault="00DA3E75" w:rsidP="00576544">
      <w:pPr>
        <w:pStyle w:val="Listeafsnit"/>
        <w:numPr>
          <w:ilvl w:val="0"/>
          <w:numId w:val="5"/>
        </w:numPr>
        <w:tabs>
          <w:tab w:val="clear" w:pos="567"/>
        </w:tabs>
        <w:spacing w:line="240" w:lineRule="auto"/>
        <w:ind w:left="1276" w:hanging="425"/>
        <w:rPr>
          <w:sz w:val="24"/>
          <w:szCs w:val="24"/>
        </w:rPr>
      </w:pPr>
      <w:r w:rsidRPr="00576544">
        <w:rPr>
          <w:sz w:val="24"/>
          <w:szCs w:val="24"/>
        </w:rPr>
        <w:t xml:space="preserve">Behandling og </w:t>
      </w:r>
      <w:proofErr w:type="spellStart"/>
      <w:r w:rsidRPr="00576544">
        <w:rPr>
          <w:sz w:val="24"/>
          <w:szCs w:val="24"/>
        </w:rPr>
        <w:t>metafylakse</w:t>
      </w:r>
      <w:proofErr w:type="spellEnd"/>
      <w:r w:rsidRPr="00576544">
        <w:rPr>
          <w:sz w:val="24"/>
          <w:szCs w:val="24"/>
        </w:rPr>
        <w:t xml:space="preserve"> af kroniske luftvejslidelser (CRD) forårsaget af </w:t>
      </w:r>
      <w:proofErr w:type="spellStart"/>
      <w:r w:rsidRPr="00576544">
        <w:rPr>
          <w:sz w:val="24"/>
          <w:szCs w:val="24"/>
        </w:rPr>
        <w:t>tiamulinfølsomme</w:t>
      </w:r>
      <w:proofErr w:type="spellEnd"/>
      <w:r w:rsidRPr="00576544">
        <w:rPr>
          <w:sz w:val="24"/>
          <w:szCs w:val="24"/>
        </w:rPr>
        <w:t xml:space="preserve"> stammer af </w:t>
      </w:r>
      <w:proofErr w:type="spellStart"/>
      <w:r w:rsidRPr="00576544">
        <w:rPr>
          <w:i/>
          <w:sz w:val="24"/>
          <w:szCs w:val="24"/>
        </w:rPr>
        <w:t>Mycoplasma</w:t>
      </w:r>
      <w:proofErr w:type="spellEnd"/>
      <w:r w:rsidRPr="00576544">
        <w:rPr>
          <w:i/>
          <w:sz w:val="24"/>
          <w:szCs w:val="24"/>
        </w:rPr>
        <w:t xml:space="preserve"> </w:t>
      </w:r>
      <w:proofErr w:type="spellStart"/>
      <w:r w:rsidRPr="00576544">
        <w:rPr>
          <w:i/>
          <w:sz w:val="24"/>
          <w:szCs w:val="24"/>
        </w:rPr>
        <w:t>gallisepticum</w:t>
      </w:r>
      <w:proofErr w:type="spellEnd"/>
      <w:r w:rsidRPr="00576544">
        <w:rPr>
          <w:i/>
          <w:sz w:val="24"/>
          <w:szCs w:val="24"/>
        </w:rPr>
        <w:t xml:space="preserve"> </w:t>
      </w:r>
      <w:r w:rsidRPr="00576544">
        <w:rPr>
          <w:sz w:val="24"/>
          <w:szCs w:val="24"/>
        </w:rPr>
        <w:t>og infektioner i luftsækkene og</w:t>
      </w:r>
      <w:r w:rsidRPr="00576544">
        <w:rPr>
          <w:i/>
          <w:sz w:val="24"/>
          <w:szCs w:val="24"/>
        </w:rPr>
        <w:t xml:space="preserve"> </w:t>
      </w:r>
      <w:r w:rsidRPr="00576544">
        <w:rPr>
          <w:sz w:val="24"/>
          <w:szCs w:val="24"/>
        </w:rPr>
        <w:t xml:space="preserve">smitsom </w:t>
      </w:r>
      <w:proofErr w:type="spellStart"/>
      <w:r w:rsidRPr="00576544">
        <w:rPr>
          <w:sz w:val="24"/>
          <w:szCs w:val="24"/>
        </w:rPr>
        <w:t>synovitis</w:t>
      </w:r>
      <w:proofErr w:type="spellEnd"/>
      <w:r w:rsidRPr="00576544">
        <w:rPr>
          <w:sz w:val="24"/>
          <w:szCs w:val="24"/>
        </w:rPr>
        <w:t xml:space="preserve"> forårsaget af </w:t>
      </w:r>
      <w:proofErr w:type="spellStart"/>
      <w:r w:rsidRPr="00576544">
        <w:rPr>
          <w:sz w:val="24"/>
          <w:szCs w:val="24"/>
        </w:rPr>
        <w:t>tiamulinfølsomme</w:t>
      </w:r>
      <w:proofErr w:type="spellEnd"/>
      <w:r w:rsidRPr="00576544">
        <w:rPr>
          <w:sz w:val="24"/>
          <w:szCs w:val="24"/>
        </w:rPr>
        <w:t xml:space="preserve"> </w:t>
      </w:r>
      <w:proofErr w:type="spellStart"/>
      <w:r w:rsidRPr="00576544">
        <w:rPr>
          <w:i/>
          <w:sz w:val="24"/>
          <w:szCs w:val="24"/>
        </w:rPr>
        <w:t>Mycoplasma</w:t>
      </w:r>
      <w:proofErr w:type="spellEnd"/>
      <w:r w:rsidRPr="00576544">
        <w:rPr>
          <w:i/>
          <w:sz w:val="24"/>
          <w:szCs w:val="24"/>
        </w:rPr>
        <w:t xml:space="preserve"> </w:t>
      </w:r>
      <w:proofErr w:type="spellStart"/>
      <w:r w:rsidRPr="00576544">
        <w:rPr>
          <w:i/>
          <w:sz w:val="24"/>
          <w:szCs w:val="24"/>
        </w:rPr>
        <w:t>synoviae</w:t>
      </w:r>
      <w:proofErr w:type="spellEnd"/>
      <w:r w:rsidRPr="00576544">
        <w:rPr>
          <w:i/>
          <w:sz w:val="24"/>
          <w:szCs w:val="24"/>
        </w:rPr>
        <w:t>.</w:t>
      </w:r>
      <w:r w:rsidRPr="00576544">
        <w:rPr>
          <w:sz w:val="24"/>
          <w:szCs w:val="24"/>
        </w:rPr>
        <w:t xml:space="preserve"> Sygdommens tilstedeværelse i besætningen skal fastslås, før veterinærlægemidlet tages i brug.</w:t>
      </w:r>
    </w:p>
    <w:p w14:paraId="068230A3" w14:textId="77777777" w:rsidR="00913DF5" w:rsidRPr="00576544" w:rsidRDefault="00913DF5" w:rsidP="00913DF5">
      <w:pPr>
        <w:pStyle w:val="Sidehoved"/>
        <w:ind w:left="851"/>
        <w:rPr>
          <w:szCs w:val="24"/>
        </w:rPr>
      </w:pPr>
    </w:p>
    <w:p w14:paraId="4B908A19" w14:textId="77777777" w:rsidR="00913DF5" w:rsidRPr="00576544" w:rsidRDefault="00913DF5" w:rsidP="00913DF5">
      <w:pPr>
        <w:pStyle w:val="Sidehoved"/>
        <w:tabs>
          <w:tab w:val="clear" w:pos="4819"/>
          <w:tab w:val="left" w:pos="851"/>
        </w:tabs>
        <w:ind w:left="851" w:hanging="851"/>
        <w:rPr>
          <w:b/>
          <w:szCs w:val="24"/>
        </w:rPr>
      </w:pPr>
      <w:r w:rsidRPr="00576544">
        <w:rPr>
          <w:b/>
          <w:szCs w:val="24"/>
        </w:rPr>
        <w:t>3.3</w:t>
      </w:r>
      <w:r w:rsidRPr="00576544">
        <w:rPr>
          <w:b/>
          <w:szCs w:val="24"/>
        </w:rPr>
        <w:tab/>
        <w:t>Kontraindikationer</w:t>
      </w:r>
    </w:p>
    <w:p w14:paraId="41265348" w14:textId="77777777" w:rsidR="00DA3E75" w:rsidRPr="00576544" w:rsidRDefault="00DA3E75" w:rsidP="00DA3E75">
      <w:pPr>
        <w:ind w:left="851"/>
        <w:rPr>
          <w:sz w:val="24"/>
          <w:szCs w:val="24"/>
        </w:rPr>
      </w:pPr>
      <w:r w:rsidRPr="00576544">
        <w:rPr>
          <w:sz w:val="24"/>
          <w:szCs w:val="24"/>
        </w:rPr>
        <w:t xml:space="preserve">Må ikke anvendes til dyr, der kunne indtage produkter indeholdende </w:t>
      </w:r>
      <w:proofErr w:type="spellStart"/>
      <w:r w:rsidRPr="00576544">
        <w:rPr>
          <w:sz w:val="24"/>
          <w:szCs w:val="24"/>
        </w:rPr>
        <w:t>monensin</w:t>
      </w:r>
      <w:proofErr w:type="spellEnd"/>
      <w:r w:rsidRPr="00576544">
        <w:rPr>
          <w:sz w:val="24"/>
          <w:szCs w:val="24"/>
        </w:rPr>
        <w:t xml:space="preserve">, </w:t>
      </w:r>
      <w:proofErr w:type="spellStart"/>
      <w:r w:rsidRPr="00576544">
        <w:rPr>
          <w:sz w:val="24"/>
          <w:szCs w:val="24"/>
        </w:rPr>
        <w:t>narasin</w:t>
      </w:r>
      <w:proofErr w:type="spellEnd"/>
      <w:r w:rsidRPr="00576544">
        <w:rPr>
          <w:sz w:val="24"/>
          <w:szCs w:val="24"/>
        </w:rPr>
        <w:t xml:space="preserve"> eller </w:t>
      </w:r>
      <w:proofErr w:type="spellStart"/>
      <w:r w:rsidRPr="00576544">
        <w:rPr>
          <w:sz w:val="24"/>
          <w:szCs w:val="24"/>
        </w:rPr>
        <w:t>salinomycin</w:t>
      </w:r>
      <w:proofErr w:type="spellEnd"/>
      <w:r w:rsidRPr="00576544">
        <w:rPr>
          <w:sz w:val="24"/>
          <w:szCs w:val="24"/>
        </w:rPr>
        <w:t xml:space="preserve"> samtidig med eller fra 7 dage før til 7 dage efter behandling med </w:t>
      </w:r>
      <w:proofErr w:type="spellStart"/>
      <w:r w:rsidRPr="00576544">
        <w:rPr>
          <w:sz w:val="24"/>
          <w:szCs w:val="24"/>
        </w:rPr>
        <w:t>tiamulin</w:t>
      </w:r>
      <w:proofErr w:type="spellEnd"/>
      <w:r w:rsidRPr="00576544">
        <w:rPr>
          <w:sz w:val="24"/>
          <w:szCs w:val="24"/>
        </w:rPr>
        <w:t>. Det kan medføre alvorlig væksthæmning eller dødsfald.</w:t>
      </w:r>
    </w:p>
    <w:p w14:paraId="7655C1B4" w14:textId="77777777" w:rsidR="00DA3E75" w:rsidRPr="00576544" w:rsidRDefault="00DA3E75" w:rsidP="00DA3E75">
      <w:pPr>
        <w:ind w:left="851"/>
        <w:rPr>
          <w:sz w:val="24"/>
          <w:szCs w:val="24"/>
        </w:rPr>
      </w:pPr>
    </w:p>
    <w:p w14:paraId="52F4FA58" w14:textId="77777777" w:rsidR="00DA3E75" w:rsidRPr="00576544" w:rsidRDefault="00DA3E75" w:rsidP="00DA3E75">
      <w:pPr>
        <w:ind w:left="851"/>
        <w:rPr>
          <w:sz w:val="24"/>
          <w:szCs w:val="24"/>
        </w:rPr>
      </w:pPr>
      <w:r w:rsidRPr="00576544">
        <w:rPr>
          <w:sz w:val="24"/>
          <w:szCs w:val="24"/>
        </w:rPr>
        <w:t>Må ikke anvendes i tilfælde af overfølsomhed over for det aktive stof eller over for et eller flere af hjælpestofferne.</w:t>
      </w:r>
    </w:p>
    <w:p w14:paraId="1B34E7CD" w14:textId="77777777" w:rsidR="00DA3E75" w:rsidRPr="00576544" w:rsidRDefault="00DA3E75" w:rsidP="00DA3E75">
      <w:pPr>
        <w:ind w:left="851"/>
        <w:rPr>
          <w:sz w:val="24"/>
          <w:szCs w:val="24"/>
        </w:rPr>
      </w:pPr>
    </w:p>
    <w:p w14:paraId="57AD512E" w14:textId="77777777" w:rsidR="00DA3E75" w:rsidRPr="00576544" w:rsidRDefault="00DA3E75" w:rsidP="00DA3E75">
      <w:pPr>
        <w:tabs>
          <w:tab w:val="left" w:pos="1304"/>
        </w:tabs>
        <w:ind w:left="851"/>
        <w:rPr>
          <w:sz w:val="24"/>
          <w:szCs w:val="24"/>
        </w:rPr>
      </w:pPr>
      <w:r w:rsidRPr="00576544">
        <w:rPr>
          <w:sz w:val="24"/>
          <w:szCs w:val="24"/>
        </w:rPr>
        <w:t xml:space="preserve">Se punkt 3.8 for information vedrørende interaktion mellem </w:t>
      </w:r>
      <w:proofErr w:type="spellStart"/>
      <w:r w:rsidRPr="00576544">
        <w:rPr>
          <w:sz w:val="24"/>
          <w:szCs w:val="24"/>
        </w:rPr>
        <w:t>tiamulin</w:t>
      </w:r>
      <w:proofErr w:type="spellEnd"/>
      <w:r w:rsidRPr="00576544">
        <w:rPr>
          <w:sz w:val="24"/>
          <w:szCs w:val="24"/>
        </w:rPr>
        <w:t xml:space="preserve"> og </w:t>
      </w:r>
      <w:proofErr w:type="spellStart"/>
      <w:r w:rsidRPr="00576544">
        <w:rPr>
          <w:sz w:val="24"/>
          <w:szCs w:val="24"/>
        </w:rPr>
        <w:t>ionophorer</w:t>
      </w:r>
      <w:proofErr w:type="spellEnd"/>
      <w:r w:rsidRPr="00576544">
        <w:rPr>
          <w:sz w:val="24"/>
          <w:szCs w:val="24"/>
        </w:rPr>
        <w:t>.</w:t>
      </w:r>
    </w:p>
    <w:p w14:paraId="66036E77" w14:textId="77777777" w:rsidR="00913DF5" w:rsidRPr="00576544" w:rsidRDefault="00913DF5" w:rsidP="00913DF5">
      <w:pPr>
        <w:pStyle w:val="Sidehoved"/>
        <w:tabs>
          <w:tab w:val="clear" w:pos="4819"/>
        </w:tabs>
        <w:ind w:left="851"/>
        <w:rPr>
          <w:szCs w:val="24"/>
        </w:rPr>
      </w:pPr>
    </w:p>
    <w:p w14:paraId="2CB1C538" w14:textId="77777777" w:rsidR="00913DF5" w:rsidRPr="00576544" w:rsidRDefault="00913DF5" w:rsidP="00913DF5">
      <w:pPr>
        <w:tabs>
          <w:tab w:val="left" w:pos="851"/>
        </w:tabs>
        <w:ind w:left="851" w:hanging="851"/>
        <w:rPr>
          <w:b/>
          <w:sz w:val="24"/>
          <w:szCs w:val="24"/>
        </w:rPr>
      </w:pPr>
      <w:r w:rsidRPr="00576544">
        <w:rPr>
          <w:b/>
          <w:sz w:val="24"/>
          <w:szCs w:val="24"/>
        </w:rPr>
        <w:t>3.4</w:t>
      </w:r>
      <w:r w:rsidRPr="00576544">
        <w:rPr>
          <w:b/>
          <w:sz w:val="24"/>
          <w:szCs w:val="24"/>
        </w:rPr>
        <w:tab/>
        <w:t>Særlige advarsler</w:t>
      </w:r>
    </w:p>
    <w:p w14:paraId="2DF690B9" w14:textId="77777777" w:rsidR="00DA3E75" w:rsidRPr="00576544" w:rsidRDefault="00DA3E75" w:rsidP="00DA3E75">
      <w:pPr>
        <w:ind w:left="851"/>
        <w:rPr>
          <w:b/>
          <w:sz w:val="24"/>
          <w:szCs w:val="24"/>
        </w:rPr>
      </w:pPr>
      <w:r w:rsidRPr="00576544">
        <w:rPr>
          <w:sz w:val="24"/>
          <w:szCs w:val="24"/>
        </w:rPr>
        <w:t>Svin med reduceret vandindtag og/eller i svækket tilstand bør behandles parenteralt.</w:t>
      </w:r>
    </w:p>
    <w:p w14:paraId="671AD808" w14:textId="77777777" w:rsidR="00DA3E75" w:rsidRPr="00576544" w:rsidRDefault="00DA3E75" w:rsidP="00DA3E75">
      <w:pPr>
        <w:ind w:left="851"/>
        <w:rPr>
          <w:sz w:val="24"/>
          <w:szCs w:val="24"/>
        </w:rPr>
      </w:pPr>
    </w:p>
    <w:p w14:paraId="3AE7B4BC" w14:textId="11088CB9" w:rsidR="00913DF5" w:rsidRPr="00576544" w:rsidRDefault="00DA3E75" w:rsidP="00DA3E75">
      <w:pPr>
        <w:tabs>
          <w:tab w:val="left" w:pos="1304"/>
        </w:tabs>
        <w:ind w:left="851"/>
        <w:rPr>
          <w:sz w:val="24"/>
          <w:szCs w:val="24"/>
        </w:rPr>
      </w:pPr>
      <w:r w:rsidRPr="00576544">
        <w:rPr>
          <w:sz w:val="24"/>
          <w:szCs w:val="24"/>
        </w:rPr>
        <w:t xml:space="preserve">Vandindtaget kan svækkes under administrationen af </w:t>
      </w:r>
      <w:proofErr w:type="spellStart"/>
      <w:r w:rsidRPr="00576544">
        <w:rPr>
          <w:sz w:val="24"/>
          <w:szCs w:val="24"/>
        </w:rPr>
        <w:t>tiamulin</w:t>
      </w:r>
      <w:proofErr w:type="spellEnd"/>
      <w:r w:rsidRPr="00576544">
        <w:rPr>
          <w:sz w:val="24"/>
          <w:szCs w:val="24"/>
        </w:rPr>
        <w:t xml:space="preserve"> til høns. Det synes at være afhængigt af koncentrationen, hvor 500 mg </w:t>
      </w:r>
      <w:proofErr w:type="spellStart"/>
      <w:r w:rsidRPr="00576544">
        <w:rPr>
          <w:sz w:val="24"/>
          <w:szCs w:val="24"/>
        </w:rPr>
        <w:t>tiamulinhydrogenfumarat</w:t>
      </w:r>
      <w:proofErr w:type="spellEnd"/>
      <w:r w:rsidRPr="00576544">
        <w:rPr>
          <w:sz w:val="24"/>
          <w:szCs w:val="24"/>
        </w:rPr>
        <w:t xml:space="preserve"> (svarende til 4 ml af veterinærlægemidlet) i 4 liter vand reducerer vandindtaget med ca. 10%, og 500 mg </w:t>
      </w:r>
      <w:proofErr w:type="spellStart"/>
      <w:r w:rsidRPr="00576544">
        <w:rPr>
          <w:sz w:val="24"/>
          <w:szCs w:val="24"/>
        </w:rPr>
        <w:t>tiamulinhydrogenfumarat</w:t>
      </w:r>
      <w:proofErr w:type="spellEnd"/>
      <w:r w:rsidRPr="00576544">
        <w:rPr>
          <w:sz w:val="24"/>
          <w:szCs w:val="24"/>
        </w:rPr>
        <w:t xml:space="preserve"> (svarende til 4 ml af veterinærlægemidlet) i 2 liter vand reducerer vandindtaget med 15% hos høns. Det synes ikke at have nogen uønsket effekt på </w:t>
      </w:r>
      <w:r w:rsidRPr="00576544">
        <w:rPr>
          <w:sz w:val="24"/>
          <w:szCs w:val="24"/>
        </w:rPr>
        <w:lastRenderedPageBreak/>
        <w:t xml:space="preserve">fjerkræets totale funktionsevne eller på veterinærlægemidlets virkning, men vandindtaget bør monitoreres med jævne mellemrum, især ved varmt vejr. </w:t>
      </w:r>
    </w:p>
    <w:p w14:paraId="660D5D65" w14:textId="77777777" w:rsidR="00913DF5" w:rsidRPr="00576544" w:rsidRDefault="00913DF5" w:rsidP="00913DF5">
      <w:pPr>
        <w:pStyle w:val="Sidehoved"/>
        <w:tabs>
          <w:tab w:val="clear" w:pos="4819"/>
        </w:tabs>
        <w:ind w:left="851"/>
        <w:rPr>
          <w:szCs w:val="24"/>
        </w:rPr>
      </w:pPr>
    </w:p>
    <w:p w14:paraId="29C4E860" w14:textId="77777777" w:rsidR="00913DF5" w:rsidRPr="00576544" w:rsidRDefault="00913DF5" w:rsidP="00913DF5">
      <w:pPr>
        <w:tabs>
          <w:tab w:val="left" w:pos="851"/>
        </w:tabs>
        <w:ind w:left="851" w:hanging="851"/>
        <w:rPr>
          <w:b/>
          <w:sz w:val="24"/>
          <w:szCs w:val="24"/>
        </w:rPr>
      </w:pPr>
      <w:r w:rsidRPr="00576544">
        <w:rPr>
          <w:b/>
          <w:sz w:val="24"/>
          <w:szCs w:val="24"/>
        </w:rPr>
        <w:t>3.5</w:t>
      </w:r>
      <w:r w:rsidRPr="00576544">
        <w:rPr>
          <w:b/>
          <w:sz w:val="24"/>
          <w:szCs w:val="24"/>
        </w:rPr>
        <w:tab/>
        <w:t>Særlige forholdsregler vedrørende brugen</w:t>
      </w:r>
    </w:p>
    <w:p w14:paraId="021367F2" w14:textId="77777777" w:rsidR="00913DF5" w:rsidRPr="00576544" w:rsidRDefault="00913DF5" w:rsidP="00913DF5">
      <w:pPr>
        <w:tabs>
          <w:tab w:val="left" w:pos="851"/>
        </w:tabs>
        <w:ind w:left="851"/>
        <w:rPr>
          <w:sz w:val="24"/>
          <w:szCs w:val="24"/>
        </w:rPr>
      </w:pPr>
    </w:p>
    <w:p w14:paraId="3D8763D0" w14:textId="77777777" w:rsidR="00913DF5" w:rsidRPr="00576544" w:rsidRDefault="00913DF5" w:rsidP="00913DF5">
      <w:pPr>
        <w:tabs>
          <w:tab w:val="left" w:pos="851"/>
        </w:tabs>
        <w:ind w:left="851"/>
        <w:rPr>
          <w:sz w:val="24"/>
          <w:szCs w:val="24"/>
          <w:u w:val="single"/>
        </w:rPr>
      </w:pPr>
      <w:r w:rsidRPr="00576544">
        <w:rPr>
          <w:sz w:val="24"/>
          <w:szCs w:val="24"/>
          <w:u w:val="single"/>
        </w:rPr>
        <w:t>Særlige forholdsregler vedrørende sikker brug hos de dyrearter, som lægemidlet er beregnet til</w:t>
      </w:r>
    </w:p>
    <w:p w14:paraId="07EA52E2" w14:textId="77777777" w:rsidR="00DA3E75" w:rsidRPr="00576544" w:rsidRDefault="00DA3E75" w:rsidP="00DA3E75">
      <w:pPr>
        <w:ind w:left="851"/>
        <w:rPr>
          <w:sz w:val="24"/>
          <w:szCs w:val="24"/>
        </w:rPr>
      </w:pPr>
      <w:r w:rsidRPr="00576544">
        <w:rPr>
          <w:sz w:val="24"/>
          <w:szCs w:val="24"/>
        </w:rPr>
        <w:t>Anvendelse af veterinærlægemidlet bør baseres på følsomhedstest af bakterier, der er isoleret fra dyret. Hvis dette ikke er muligt, bør behandling baseres på lokal (regional, bedriftsniveau) epidemiologisk information om målbakteriernes følsomhed.</w:t>
      </w:r>
    </w:p>
    <w:p w14:paraId="437A6D43" w14:textId="77777777" w:rsidR="00DA3E75" w:rsidRPr="00576544" w:rsidRDefault="00DA3E75" w:rsidP="00DA3E75">
      <w:pPr>
        <w:ind w:left="851"/>
        <w:rPr>
          <w:sz w:val="24"/>
          <w:szCs w:val="24"/>
        </w:rPr>
      </w:pPr>
    </w:p>
    <w:p w14:paraId="4ABE6FEB" w14:textId="77777777" w:rsidR="00DA3E75" w:rsidRPr="00576544" w:rsidRDefault="00DA3E75" w:rsidP="00DA3E75">
      <w:pPr>
        <w:ind w:left="851"/>
        <w:rPr>
          <w:bCs/>
          <w:sz w:val="24"/>
          <w:szCs w:val="24"/>
        </w:rPr>
      </w:pPr>
      <w:r w:rsidRPr="00576544">
        <w:rPr>
          <w:bCs/>
          <w:sz w:val="24"/>
          <w:szCs w:val="24"/>
        </w:rPr>
        <w:t xml:space="preserve">Hvis anvendelsen af veterinærlægemidlet afviger fra instruktionerne i produktresuméet, kan prævalensen af </w:t>
      </w:r>
      <w:proofErr w:type="spellStart"/>
      <w:r w:rsidRPr="00576544">
        <w:rPr>
          <w:bCs/>
          <w:sz w:val="24"/>
          <w:szCs w:val="24"/>
        </w:rPr>
        <w:t>tiamulinresistente</w:t>
      </w:r>
      <w:proofErr w:type="spellEnd"/>
      <w:r w:rsidRPr="00576544">
        <w:rPr>
          <w:bCs/>
          <w:sz w:val="24"/>
          <w:szCs w:val="24"/>
        </w:rPr>
        <w:t xml:space="preserve"> bakterier øges.</w:t>
      </w:r>
    </w:p>
    <w:p w14:paraId="249A9451" w14:textId="77777777" w:rsidR="00913DF5" w:rsidRPr="00576544" w:rsidRDefault="00913DF5" w:rsidP="00913DF5">
      <w:pPr>
        <w:tabs>
          <w:tab w:val="left" w:pos="851"/>
        </w:tabs>
        <w:ind w:left="851"/>
        <w:rPr>
          <w:sz w:val="24"/>
          <w:szCs w:val="24"/>
        </w:rPr>
      </w:pPr>
    </w:p>
    <w:p w14:paraId="5938B3B4" w14:textId="77777777" w:rsidR="00913DF5" w:rsidRPr="00576544" w:rsidRDefault="00913DF5" w:rsidP="00913DF5">
      <w:pPr>
        <w:tabs>
          <w:tab w:val="left" w:pos="851"/>
        </w:tabs>
        <w:ind w:left="851"/>
        <w:rPr>
          <w:sz w:val="24"/>
          <w:szCs w:val="24"/>
          <w:u w:val="single"/>
        </w:rPr>
      </w:pPr>
      <w:r w:rsidRPr="00576544">
        <w:rPr>
          <w:sz w:val="24"/>
          <w:szCs w:val="24"/>
          <w:u w:val="single"/>
        </w:rPr>
        <w:t>Særlige forholdsregler for personer, der administrerer veterinærlægemidlet til dyr</w:t>
      </w:r>
    </w:p>
    <w:p w14:paraId="3144FBD8" w14:textId="77777777" w:rsidR="00DA3E75" w:rsidRPr="00576544" w:rsidRDefault="00DA3E75" w:rsidP="00DA3E75">
      <w:pPr>
        <w:ind w:left="851"/>
        <w:rPr>
          <w:sz w:val="24"/>
          <w:szCs w:val="24"/>
        </w:rPr>
      </w:pPr>
      <w:r w:rsidRPr="00576544">
        <w:rPr>
          <w:sz w:val="24"/>
          <w:szCs w:val="24"/>
        </w:rPr>
        <w:t xml:space="preserve">Ved overfølsomhed over for </w:t>
      </w:r>
      <w:proofErr w:type="spellStart"/>
      <w:r w:rsidRPr="00576544">
        <w:rPr>
          <w:sz w:val="24"/>
          <w:szCs w:val="24"/>
        </w:rPr>
        <w:t>tiamulin</w:t>
      </w:r>
      <w:proofErr w:type="spellEnd"/>
      <w:r w:rsidRPr="00576544">
        <w:rPr>
          <w:sz w:val="24"/>
          <w:szCs w:val="24"/>
        </w:rPr>
        <w:t xml:space="preserve"> eller parabener skal veterinærlægemidlet anvendes med forsigtighed.</w:t>
      </w:r>
    </w:p>
    <w:p w14:paraId="3E7E5C38" w14:textId="77777777" w:rsidR="00DA3E75" w:rsidRPr="00576544" w:rsidRDefault="00DA3E75" w:rsidP="00DA3E75">
      <w:pPr>
        <w:ind w:left="851"/>
        <w:rPr>
          <w:sz w:val="24"/>
          <w:szCs w:val="24"/>
        </w:rPr>
      </w:pPr>
    </w:p>
    <w:p w14:paraId="10A4A684" w14:textId="5B4BACD0" w:rsidR="00DA3E75" w:rsidRPr="00576544" w:rsidRDefault="00DA3E75" w:rsidP="00DA3E75">
      <w:pPr>
        <w:ind w:left="851"/>
        <w:rPr>
          <w:sz w:val="24"/>
          <w:szCs w:val="24"/>
        </w:rPr>
      </w:pPr>
      <w:r w:rsidRPr="00576544">
        <w:rPr>
          <w:sz w:val="24"/>
          <w:szCs w:val="24"/>
        </w:rPr>
        <w:t>Både veterinærlægemidlet som sådan og det i drikkevandopløste veterinærlægemiddel kan forårsage overfølsomhedsreaktioner ved kontakt. Undgå kontakt med huden. Ryg, spis eller drik ikke, når veterinærlægemidlet håndteres og blandes. Personligt beskyttelses</w:t>
      </w:r>
      <w:r w:rsidR="003F459E">
        <w:rPr>
          <w:sz w:val="24"/>
          <w:szCs w:val="24"/>
        </w:rPr>
        <w:softHyphen/>
      </w:r>
      <w:r w:rsidRPr="00576544">
        <w:rPr>
          <w:sz w:val="24"/>
          <w:szCs w:val="24"/>
        </w:rPr>
        <w:t xml:space="preserve">udstyr i form af overalls og beskyttelseshandsker bør anvendes ved håndtering af veterinærlægemidlet. Vask hænderne efter brug. I tilfælde af utilsigtet kontakt med huden, skyl da omhyggeligt med vand. Kontamineret tøj bør tages af. </w:t>
      </w:r>
    </w:p>
    <w:p w14:paraId="1794C516" w14:textId="77777777" w:rsidR="00DA3E75" w:rsidRPr="00576544" w:rsidRDefault="00DA3E75" w:rsidP="00DA3E75">
      <w:pPr>
        <w:ind w:left="851"/>
        <w:rPr>
          <w:sz w:val="24"/>
          <w:szCs w:val="24"/>
        </w:rPr>
      </w:pPr>
      <w:r w:rsidRPr="00576544">
        <w:rPr>
          <w:sz w:val="24"/>
          <w:szCs w:val="24"/>
        </w:rPr>
        <w:t>Indtagelse af veterinærlægemidlet eller det medicinerede vand bør undgås. I tilfælde af utilsigtet indtagelse, rens da munden med rigeligt rent vand.</w:t>
      </w:r>
    </w:p>
    <w:p w14:paraId="41599A22" w14:textId="77777777" w:rsidR="00DA3E75" w:rsidRPr="00576544" w:rsidRDefault="00DA3E75" w:rsidP="00DA3E75">
      <w:pPr>
        <w:ind w:left="851"/>
        <w:rPr>
          <w:sz w:val="24"/>
          <w:szCs w:val="24"/>
        </w:rPr>
      </w:pPr>
      <w:r w:rsidRPr="00576544">
        <w:rPr>
          <w:sz w:val="24"/>
          <w:szCs w:val="24"/>
        </w:rPr>
        <w:t>I tilfælde af utilsigtet indtagelse eller kontakt med huden ved hændeligt uheld skal der straks søges lægehjælp, og indlægssedlen eller etiketten bør vises til lægen.</w:t>
      </w:r>
    </w:p>
    <w:p w14:paraId="5806A10E" w14:textId="77777777" w:rsidR="00913DF5" w:rsidRPr="00576544" w:rsidRDefault="00913DF5" w:rsidP="00913DF5">
      <w:pPr>
        <w:tabs>
          <w:tab w:val="left" w:pos="851"/>
        </w:tabs>
        <w:ind w:left="851"/>
        <w:rPr>
          <w:sz w:val="24"/>
          <w:szCs w:val="24"/>
        </w:rPr>
      </w:pPr>
    </w:p>
    <w:p w14:paraId="115D6D3B" w14:textId="77777777" w:rsidR="00913DF5" w:rsidRPr="00576544" w:rsidRDefault="00913DF5" w:rsidP="00913DF5">
      <w:pPr>
        <w:tabs>
          <w:tab w:val="left" w:pos="851"/>
        </w:tabs>
        <w:ind w:left="851"/>
        <w:rPr>
          <w:sz w:val="24"/>
          <w:szCs w:val="24"/>
          <w:u w:val="single"/>
        </w:rPr>
      </w:pPr>
      <w:r w:rsidRPr="00576544">
        <w:rPr>
          <w:sz w:val="24"/>
          <w:szCs w:val="24"/>
          <w:u w:val="single"/>
        </w:rPr>
        <w:t>Særlige forholdsregler vedrørende beskyttelse af miljøet</w:t>
      </w:r>
    </w:p>
    <w:p w14:paraId="1256EC6D" w14:textId="77777777" w:rsidR="00DA3E75" w:rsidRPr="00576544" w:rsidRDefault="00DA3E75" w:rsidP="00DA3E75">
      <w:pPr>
        <w:ind w:left="851"/>
        <w:rPr>
          <w:sz w:val="24"/>
          <w:szCs w:val="24"/>
        </w:rPr>
      </w:pPr>
      <w:r w:rsidRPr="00576544">
        <w:rPr>
          <w:sz w:val="24"/>
          <w:szCs w:val="24"/>
        </w:rPr>
        <w:t>Ikke relevant.</w:t>
      </w:r>
    </w:p>
    <w:p w14:paraId="20C336C9" w14:textId="77777777" w:rsidR="00913DF5" w:rsidRPr="00576544" w:rsidRDefault="00913DF5" w:rsidP="00913DF5">
      <w:pPr>
        <w:tabs>
          <w:tab w:val="left" w:pos="851"/>
        </w:tabs>
        <w:ind w:left="851"/>
        <w:rPr>
          <w:sz w:val="24"/>
          <w:szCs w:val="24"/>
        </w:rPr>
      </w:pPr>
    </w:p>
    <w:p w14:paraId="7C1980D4" w14:textId="77777777" w:rsidR="00913DF5" w:rsidRPr="00576544" w:rsidRDefault="00913DF5" w:rsidP="00913DF5">
      <w:pPr>
        <w:tabs>
          <w:tab w:val="left" w:pos="851"/>
        </w:tabs>
        <w:ind w:left="851" w:hanging="851"/>
        <w:rPr>
          <w:b/>
          <w:sz w:val="24"/>
          <w:szCs w:val="24"/>
        </w:rPr>
      </w:pPr>
      <w:r w:rsidRPr="00576544">
        <w:rPr>
          <w:b/>
          <w:sz w:val="24"/>
          <w:szCs w:val="24"/>
        </w:rPr>
        <w:t>3.6</w:t>
      </w:r>
      <w:r w:rsidRPr="00576544">
        <w:rPr>
          <w:b/>
          <w:sz w:val="24"/>
          <w:szCs w:val="24"/>
        </w:rPr>
        <w:tab/>
        <w:t>Bivirkninger</w:t>
      </w:r>
    </w:p>
    <w:p w14:paraId="76662B31" w14:textId="77777777" w:rsidR="00576544" w:rsidRDefault="00576544" w:rsidP="00DA3E75">
      <w:pPr>
        <w:ind w:left="851"/>
        <w:rPr>
          <w:sz w:val="24"/>
          <w:szCs w:val="24"/>
          <w:u w:val="single"/>
        </w:rPr>
      </w:pPr>
    </w:p>
    <w:p w14:paraId="5C0B0BD7" w14:textId="2BAF1284" w:rsidR="00DA3E75" w:rsidRPr="00576544" w:rsidRDefault="00DA3E75" w:rsidP="00DA3E75">
      <w:pPr>
        <w:ind w:left="851"/>
        <w:rPr>
          <w:sz w:val="24"/>
          <w:szCs w:val="24"/>
        </w:rPr>
      </w:pPr>
      <w:r w:rsidRPr="00576544">
        <w:rPr>
          <w:sz w:val="24"/>
          <w:szCs w:val="24"/>
          <w:u w:val="single"/>
        </w:rPr>
        <w:t>Svin:</w:t>
      </w:r>
    </w:p>
    <w:p w14:paraId="2ED21165" w14:textId="77777777" w:rsidR="00DA3E75" w:rsidRPr="00576544" w:rsidRDefault="00DA3E75" w:rsidP="00DA3E75">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DA3E75" w:rsidRPr="00576544" w14:paraId="4DAA8E7B" w14:textId="77777777" w:rsidTr="00DA3E75">
        <w:tc>
          <w:tcPr>
            <w:tcW w:w="2482" w:type="pct"/>
            <w:tcBorders>
              <w:top w:val="single" w:sz="4" w:space="0" w:color="auto"/>
              <w:left w:val="single" w:sz="4" w:space="0" w:color="auto"/>
              <w:bottom w:val="single" w:sz="4" w:space="0" w:color="auto"/>
              <w:right w:val="single" w:sz="4" w:space="0" w:color="auto"/>
            </w:tcBorders>
            <w:hideMark/>
          </w:tcPr>
          <w:p w14:paraId="4BF224CF" w14:textId="77777777" w:rsidR="00DA3E75" w:rsidRPr="00576544" w:rsidRDefault="00DA3E75">
            <w:pPr>
              <w:spacing w:before="60" w:after="60"/>
              <w:rPr>
                <w:sz w:val="24"/>
                <w:szCs w:val="24"/>
              </w:rPr>
            </w:pPr>
            <w:r w:rsidRPr="00576544">
              <w:rPr>
                <w:sz w:val="24"/>
                <w:szCs w:val="24"/>
              </w:rPr>
              <w:t>Meget sjælden</w:t>
            </w:r>
          </w:p>
          <w:p w14:paraId="237B003A" w14:textId="77777777" w:rsidR="00DA3E75" w:rsidRPr="00576544" w:rsidRDefault="00DA3E75">
            <w:pPr>
              <w:spacing w:before="60" w:after="60"/>
              <w:rPr>
                <w:sz w:val="24"/>
                <w:szCs w:val="24"/>
              </w:rPr>
            </w:pPr>
            <w:r w:rsidRPr="00576544">
              <w:rPr>
                <w:sz w:val="24"/>
                <w:szCs w:val="24"/>
              </w:rPr>
              <w:t>(&lt; 1 dyr ud af 10.000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40C4818B" w14:textId="77777777" w:rsidR="00DA3E75" w:rsidRPr="00576544" w:rsidRDefault="00DA3E75">
            <w:pPr>
              <w:spacing w:before="60" w:after="60"/>
              <w:rPr>
                <w:iCs/>
                <w:sz w:val="24"/>
                <w:szCs w:val="24"/>
              </w:rPr>
            </w:pPr>
            <w:proofErr w:type="spellStart"/>
            <w:r w:rsidRPr="00576544">
              <w:rPr>
                <w:iCs/>
                <w:sz w:val="24"/>
                <w:szCs w:val="24"/>
              </w:rPr>
              <w:t>Erytem</w:t>
            </w:r>
            <w:proofErr w:type="spellEnd"/>
            <w:r w:rsidRPr="00576544">
              <w:rPr>
                <w:iCs/>
                <w:sz w:val="24"/>
                <w:szCs w:val="24"/>
              </w:rPr>
              <w:t>, hudødem</w:t>
            </w:r>
          </w:p>
        </w:tc>
      </w:tr>
    </w:tbl>
    <w:p w14:paraId="2328EE7C" w14:textId="77777777" w:rsidR="00DA3E75" w:rsidRPr="00576544" w:rsidRDefault="00DA3E75" w:rsidP="00DA3E75">
      <w:pPr>
        <w:ind w:left="851"/>
        <w:rPr>
          <w:sz w:val="24"/>
          <w:szCs w:val="24"/>
        </w:rPr>
      </w:pPr>
    </w:p>
    <w:p w14:paraId="7451D0CD" w14:textId="77777777" w:rsidR="00DA3E75" w:rsidRPr="00576544" w:rsidRDefault="00DA3E75" w:rsidP="00DA3E75">
      <w:pPr>
        <w:ind w:left="851"/>
        <w:rPr>
          <w:sz w:val="24"/>
          <w:szCs w:val="24"/>
          <w:u w:val="single"/>
        </w:rPr>
      </w:pPr>
      <w:r w:rsidRPr="00576544">
        <w:rPr>
          <w:sz w:val="24"/>
          <w:szCs w:val="24"/>
          <w:u w:val="single"/>
        </w:rPr>
        <w:t xml:space="preserve">Høns (æglæggende høns): </w:t>
      </w:r>
    </w:p>
    <w:p w14:paraId="62C2FF8E" w14:textId="77777777" w:rsidR="00DA3E75" w:rsidRPr="00576544" w:rsidRDefault="00DA3E75" w:rsidP="00DA3E75">
      <w:pPr>
        <w:ind w:left="851"/>
        <w:rPr>
          <w:sz w:val="24"/>
          <w:szCs w:val="24"/>
        </w:rPr>
      </w:pPr>
      <w:r w:rsidRPr="00576544">
        <w:rPr>
          <w:sz w:val="24"/>
          <w:szCs w:val="24"/>
        </w:rPr>
        <w:t>Ingen kendte</w:t>
      </w:r>
    </w:p>
    <w:p w14:paraId="6DD2D56F" w14:textId="77777777" w:rsidR="00DA3E75" w:rsidRPr="00576544" w:rsidRDefault="00DA3E75" w:rsidP="00DA3E75">
      <w:pPr>
        <w:ind w:left="851"/>
        <w:rPr>
          <w:sz w:val="24"/>
          <w:szCs w:val="24"/>
        </w:rPr>
      </w:pPr>
    </w:p>
    <w:p w14:paraId="4C52F4EA" w14:textId="77777777" w:rsidR="00DA3E75" w:rsidRPr="00576544" w:rsidRDefault="00DA3E75" w:rsidP="00DA3E75">
      <w:pPr>
        <w:ind w:left="851"/>
        <w:rPr>
          <w:sz w:val="24"/>
          <w:szCs w:val="24"/>
        </w:rPr>
      </w:pPr>
      <w:bookmarkStart w:id="1" w:name="_Hlk66891708"/>
      <w:r w:rsidRPr="00576544">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14:paraId="5F92CFC0" w14:textId="013182E7" w:rsidR="003F459E" w:rsidRDefault="003F459E">
      <w:pPr>
        <w:rPr>
          <w:sz w:val="24"/>
          <w:szCs w:val="24"/>
        </w:rPr>
      </w:pPr>
      <w:r>
        <w:rPr>
          <w:sz w:val="24"/>
          <w:szCs w:val="24"/>
        </w:rPr>
        <w:br w:type="page"/>
      </w:r>
    </w:p>
    <w:p w14:paraId="63779B80" w14:textId="77777777" w:rsidR="00913DF5" w:rsidRPr="00576544" w:rsidRDefault="00913DF5" w:rsidP="00913DF5">
      <w:pPr>
        <w:tabs>
          <w:tab w:val="left" w:pos="851"/>
        </w:tabs>
        <w:ind w:left="851"/>
        <w:rPr>
          <w:sz w:val="24"/>
          <w:szCs w:val="24"/>
        </w:rPr>
      </w:pPr>
    </w:p>
    <w:p w14:paraId="1E38F25C" w14:textId="77777777" w:rsidR="00913DF5" w:rsidRPr="00576544" w:rsidRDefault="00913DF5" w:rsidP="00913DF5">
      <w:pPr>
        <w:tabs>
          <w:tab w:val="left" w:pos="851"/>
        </w:tabs>
        <w:ind w:left="851" w:hanging="851"/>
        <w:rPr>
          <w:b/>
          <w:sz w:val="24"/>
          <w:szCs w:val="24"/>
        </w:rPr>
      </w:pPr>
      <w:r w:rsidRPr="00576544">
        <w:rPr>
          <w:b/>
          <w:sz w:val="24"/>
          <w:szCs w:val="24"/>
        </w:rPr>
        <w:t>3.7</w:t>
      </w:r>
      <w:r w:rsidRPr="00576544">
        <w:rPr>
          <w:b/>
          <w:sz w:val="24"/>
          <w:szCs w:val="24"/>
        </w:rPr>
        <w:tab/>
        <w:t>Anvendelse under drægtighed, laktation eller æglægning</w:t>
      </w:r>
    </w:p>
    <w:p w14:paraId="6BA37F48" w14:textId="77777777" w:rsidR="00576544" w:rsidRDefault="00576544" w:rsidP="00DA3E75">
      <w:pPr>
        <w:ind w:left="851"/>
        <w:rPr>
          <w:sz w:val="24"/>
          <w:szCs w:val="24"/>
          <w:u w:val="single"/>
        </w:rPr>
      </w:pPr>
    </w:p>
    <w:p w14:paraId="715AECA7" w14:textId="4893DD74" w:rsidR="00DA3E75" w:rsidRPr="00576544" w:rsidRDefault="00DA3E75" w:rsidP="00DA3E75">
      <w:pPr>
        <w:ind w:left="851"/>
        <w:rPr>
          <w:sz w:val="24"/>
          <w:szCs w:val="24"/>
        </w:rPr>
      </w:pPr>
      <w:r w:rsidRPr="00576544">
        <w:rPr>
          <w:sz w:val="24"/>
          <w:szCs w:val="24"/>
          <w:u w:val="single"/>
        </w:rPr>
        <w:t>Drægtighed og laktation</w:t>
      </w:r>
      <w:r w:rsidRPr="00576544">
        <w:rPr>
          <w:sz w:val="24"/>
          <w:szCs w:val="24"/>
        </w:rPr>
        <w:t>:</w:t>
      </w:r>
    </w:p>
    <w:p w14:paraId="4835B755" w14:textId="77777777" w:rsidR="00DA3E75" w:rsidRPr="00576544" w:rsidRDefault="00DA3E75" w:rsidP="00DA3E75">
      <w:pPr>
        <w:ind w:left="851"/>
        <w:rPr>
          <w:sz w:val="24"/>
          <w:szCs w:val="24"/>
        </w:rPr>
      </w:pPr>
      <w:r w:rsidRPr="00576544">
        <w:rPr>
          <w:sz w:val="24"/>
          <w:szCs w:val="24"/>
        </w:rPr>
        <w:t xml:space="preserve">Kan anvendes til svin under drægtighed og diegivning. </w:t>
      </w:r>
    </w:p>
    <w:p w14:paraId="4FC70AAD" w14:textId="77777777" w:rsidR="00DA3E75" w:rsidRPr="00576544" w:rsidRDefault="00DA3E75" w:rsidP="00DA3E75">
      <w:pPr>
        <w:ind w:left="851"/>
        <w:rPr>
          <w:sz w:val="24"/>
          <w:szCs w:val="24"/>
        </w:rPr>
      </w:pPr>
    </w:p>
    <w:p w14:paraId="21F15DAD" w14:textId="77777777" w:rsidR="00DA3E75" w:rsidRPr="00576544" w:rsidRDefault="00DA3E75" w:rsidP="00DA3E75">
      <w:pPr>
        <w:ind w:left="851"/>
        <w:rPr>
          <w:sz w:val="24"/>
          <w:szCs w:val="24"/>
        </w:rPr>
      </w:pPr>
      <w:r w:rsidRPr="00576544">
        <w:rPr>
          <w:sz w:val="24"/>
          <w:szCs w:val="24"/>
          <w:u w:val="single"/>
        </w:rPr>
        <w:t>Æglæggende fugle</w:t>
      </w:r>
      <w:r w:rsidRPr="00576544">
        <w:rPr>
          <w:sz w:val="24"/>
          <w:szCs w:val="24"/>
        </w:rPr>
        <w:t>:</w:t>
      </w:r>
    </w:p>
    <w:p w14:paraId="43A36C9F" w14:textId="77777777" w:rsidR="00DA3E75" w:rsidRPr="00576544" w:rsidRDefault="00DA3E75" w:rsidP="00DA3E75">
      <w:pPr>
        <w:ind w:left="851"/>
        <w:rPr>
          <w:sz w:val="24"/>
          <w:szCs w:val="24"/>
        </w:rPr>
      </w:pPr>
      <w:r w:rsidRPr="00576544">
        <w:rPr>
          <w:sz w:val="24"/>
          <w:szCs w:val="24"/>
        </w:rPr>
        <w:t>Kan anvendes til høns (æglæggende høns).</w:t>
      </w:r>
    </w:p>
    <w:p w14:paraId="3A33C213" w14:textId="77777777" w:rsidR="00913DF5" w:rsidRPr="00576544" w:rsidRDefault="00913DF5" w:rsidP="00913DF5">
      <w:pPr>
        <w:tabs>
          <w:tab w:val="left" w:pos="851"/>
        </w:tabs>
        <w:ind w:left="851"/>
        <w:rPr>
          <w:sz w:val="24"/>
          <w:szCs w:val="24"/>
        </w:rPr>
      </w:pPr>
    </w:p>
    <w:p w14:paraId="6EA92685" w14:textId="77777777" w:rsidR="00913DF5" w:rsidRPr="00576544" w:rsidRDefault="00913DF5" w:rsidP="00913DF5">
      <w:pPr>
        <w:tabs>
          <w:tab w:val="left" w:pos="851"/>
        </w:tabs>
        <w:ind w:left="851" w:hanging="851"/>
        <w:rPr>
          <w:b/>
          <w:sz w:val="24"/>
          <w:szCs w:val="24"/>
        </w:rPr>
      </w:pPr>
      <w:r w:rsidRPr="00576544">
        <w:rPr>
          <w:b/>
          <w:sz w:val="24"/>
          <w:szCs w:val="24"/>
        </w:rPr>
        <w:t>3.8</w:t>
      </w:r>
      <w:r w:rsidRPr="00576544">
        <w:rPr>
          <w:b/>
          <w:sz w:val="24"/>
          <w:szCs w:val="24"/>
        </w:rPr>
        <w:tab/>
        <w:t>Interaktion med andre lægemidler og andre former for interaktion</w:t>
      </w:r>
    </w:p>
    <w:p w14:paraId="601EEF46" w14:textId="77777777" w:rsidR="00DA3E75" w:rsidRPr="00576544" w:rsidRDefault="00DA3E75" w:rsidP="00DA3E75">
      <w:pPr>
        <w:ind w:left="851"/>
        <w:rPr>
          <w:sz w:val="24"/>
          <w:szCs w:val="24"/>
        </w:rPr>
      </w:pPr>
      <w:r w:rsidRPr="00576544">
        <w:rPr>
          <w:sz w:val="24"/>
          <w:szCs w:val="24"/>
        </w:rPr>
        <w:t xml:space="preserve">Det er påvist, at </w:t>
      </w:r>
      <w:proofErr w:type="spellStart"/>
      <w:r w:rsidRPr="00576544">
        <w:rPr>
          <w:sz w:val="24"/>
          <w:szCs w:val="24"/>
        </w:rPr>
        <w:t>tiamulin</w:t>
      </w:r>
      <w:proofErr w:type="spellEnd"/>
      <w:r w:rsidRPr="00576544">
        <w:rPr>
          <w:sz w:val="24"/>
          <w:szCs w:val="24"/>
        </w:rPr>
        <w:t xml:space="preserve"> interagerer med </w:t>
      </w:r>
      <w:proofErr w:type="spellStart"/>
      <w:r w:rsidRPr="00576544">
        <w:rPr>
          <w:sz w:val="24"/>
          <w:szCs w:val="24"/>
        </w:rPr>
        <w:t>ionophor</w:t>
      </w:r>
      <w:proofErr w:type="spellEnd"/>
      <w:r w:rsidRPr="00576544">
        <w:rPr>
          <w:sz w:val="24"/>
          <w:szCs w:val="24"/>
        </w:rPr>
        <w:t xml:space="preserve">-præparater, som f.eks. </w:t>
      </w:r>
      <w:proofErr w:type="spellStart"/>
      <w:r w:rsidRPr="00576544">
        <w:rPr>
          <w:sz w:val="24"/>
          <w:szCs w:val="24"/>
        </w:rPr>
        <w:t>monensin</w:t>
      </w:r>
      <w:proofErr w:type="spellEnd"/>
      <w:r w:rsidRPr="00576544">
        <w:rPr>
          <w:sz w:val="24"/>
          <w:szCs w:val="24"/>
        </w:rPr>
        <w:t xml:space="preserve">, </w:t>
      </w:r>
      <w:proofErr w:type="spellStart"/>
      <w:r w:rsidRPr="00576544">
        <w:rPr>
          <w:sz w:val="24"/>
          <w:szCs w:val="24"/>
        </w:rPr>
        <w:t>salinomycin</w:t>
      </w:r>
      <w:proofErr w:type="spellEnd"/>
      <w:r w:rsidRPr="00576544">
        <w:rPr>
          <w:sz w:val="24"/>
          <w:szCs w:val="24"/>
        </w:rPr>
        <w:t xml:space="preserve"> og </w:t>
      </w:r>
      <w:proofErr w:type="spellStart"/>
      <w:r w:rsidRPr="00576544">
        <w:rPr>
          <w:sz w:val="24"/>
          <w:szCs w:val="24"/>
        </w:rPr>
        <w:t>narasin</w:t>
      </w:r>
      <w:proofErr w:type="spellEnd"/>
      <w:r w:rsidRPr="00576544">
        <w:rPr>
          <w:sz w:val="24"/>
          <w:szCs w:val="24"/>
        </w:rPr>
        <w:t xml:space="preserve">, hvilket kan medføre tegn, som ikke kan skelnes fra en </w:t>
      </w:r>
      <w:proofErr w:type="spellStart"/>
      <w:r w:rsidRPr="00576544">
        <w:rPr>
          <w:sz w:val="24"/>
          <w:szCs w:val="24"/>
        </w:rPr>
        <w:t>ionophor-toksikose</w:t>
      </w:r>
      <w:proofErr w:type="spellEnd"/>
      <w:r w:rsidRPr="00576544">
        <w:rPr>
          <w:sz w:val="24"/>
          <w:szCs w:val="24"/>
        </w:rPr>
        <w:t xml:space="preserve">. Dyr må ikke få præparater, der indeholder </w:t>
      </w:r>
      <w:proofErr w:type="spellStart"/>
      <w:r w:rsidRPr="00576544">
        <w:rPr>
          <w:sz w:val="24"/>
          <w:szCs w:val="24"/>
        </w:rPr>
        <w:t>monensin</w:t>
      </w:r>
      <w:proofErr w:type="spellEnd"/>
      <w:r w:rsidRPr="00576544">
        <w:rPr>
          <w:sz w:val="24"/>
          <w:szCs w:val="24"/>
        </w:rPr>
        <w:t xml:space="preserve">, </w:t>
      </w:r>
      <w:proofErr w:type="spellStart"/>
      <w:r w:rsidRPr="00576544">
        <w:rPr>
          <w:sz w:val="24"/>
          <w:szCs w:val="24"/>
        </w:rPr>
        <w:t>salinomycin</w:t>
      </w:r>
      <w:proofErr w:type="spellEnd"/>
      <w:r w:rsidRPr="00576544">
        <w:rPr>
          <w:sz w:val="24"/>
          <w:szCs w:val="24"/>
        </w:rPr>
        <w:t xml:space="preserve"> eller </w:t>
      </w:r>
      <w:proofErr w:type="spellStart"/>
      <w:r w:rsidRPr="00576544">
        <w:rPr>
          <w:sz w:val="24"/>
          <w:szCs w:val="24"/>
        </w:rPr>
        <w:t>narasin</w:t>
      </w:r>
      <w:proofErr w:type="spellEnd"/>
      <w:r w:rsidRPr="00576544">
        <w:rPr>
          <w:sz w:val="24"/>
          <w:szCs w:val="24"/>
        </w:rPr>
        <w:t xml:space="preserve">, i mindst 7 dage før, under eller 7 dage efter behandling med </w:t>
      </w:r>
      <w:proofErr w:type="spellStart"/>
      <w:r w:rsidRPr="00576544">
        <w:rPr>
          <w:sz w:val="24"/>
          <w:szCs w:val="24"/>
        </w:rPr>
        <w:t>tiamulin</w:t>
      </w:r>
      <w:proofErr w:type="spellEnd"/>
      <w:r w:rsidRPr="00576544">
        <w:rPr>
          <w:sz w:val="24"/>
          <w:szCs w:val="24"/>
        </w:rPr>
        <w:t xml:space="preserve">. Dette kan medføre svær væksthæmning, </w:t>
      </w:r>
      <w:proofErr w:type="spellStart"/>
      <w:r w:rsidRPr="00576544">
        <w:rPr>
          <w:sz w:val="24"/>
          <w:szCs w:val="24"/>
        </w:rPr>
        <w:t>ataksi</w:t>
      </w:r>
      <w:proofErr w:type="spellEnd"/>
      <w:r w:rsidRPr="00576544">
        <w:rPr>
          <w:sz w:val="24"/>
          <w:szCs w:val="24"/>
        </w:rPr>
        <w:t>, lammelse eller dødsfald.</w:t>
      </w:r>
      <w:r w:rsidRPr="00576544">
        <w:rPr>
          <w:b/>
          <w:sz w:val="24"/>
          <w:szCs w:val="24"/>
        </w:rPr>
        <w:t xml:space="preserve"> </w:t>
      </w:r>
      <w:r w:rsidRPr="00576544">
        <w:rPr>
          <w:sz w:val="24"/>
          <w:szCs w:val="24"/>
        </w:rPr>
        <w:t xml:space="preserve">Hvis der forekommer tegn på en interaktion, bør både indgiften af det </w:t>
      </w:r>
      <w:proofErr w:type="spellStart"/>
      <w:r w:rsidRPr="00576544">
        <w:rPr>
          <w:sz w:val="24"/>
          <w:szCs w:val="24"/>
        </w:rPr>
        <w:t>tiamulin</w:t>
      </w:r>
      <w:proofErr w:type="spellEnd"/>
      <w:r w:rsidRPr="00576544">
        <w:rPr>
          <w:sz w:val="24"/>
          <w:szCs w:val="24"/>
        </w:rPr>
        <w:t xml:space="preserve">-medicinerede vand og det </w:t>
      </w:r>
      <w:proofErr w:type="spellStart"/>
      <w:r w:rsidRPr="00576544">
        <w:rPr>
          <w:sz w:val="24"/>
          <w:szCs w:val="24"/>
        </w:rPr>
        <w:t>ionophor</w:t>
      </w:r>
      <w:proofErr w:type="spellEnd"/>
      <w:r w:rsidRPr="00576544">
        <w:rPr>
          <w:sz w:val="24"/>
          <w:szCs w:val="24"/>
        </w:rPr>
        <w:t xml:space="preserve">-kontaminerede foder straks standses. Foderet bør fjernes og erstattes med frisk foder, der ikke indeholder følgende midler mod coccidiose: </w:t>
      </w:r>
      <w:proofErr w:type="spellStart"/>
      <w:r w:rsidRPr="00576544">
        <w:rPr>
          <w:sz w:val="24"/>
          <w:szCs w:val="24"/>
        </w:rPr>
        <w:t>monensin</w:t>
      </w:r>
      <w:proofErr w:type="spellEnd"/>
      <w:r w:rsidRPr="00576544">
        <w:rPr>
          <w:sz w:val="24"/>
          <w:szCs w:val="24"/>
        </w:rPr>
        <w:t xml:space="preserve">, </w:t>
      </w:r>
      <w:proofErr w:type="spellStart"/>
      <w:r w:rsidRPr="00576544">
        <w:rPr>
          <w:sz w:val="24"/>
          <w:szCs w:val="24"/>
        </w:rPr>
        <w:t>salinomycin</w:t>
      </w:r>
      <w:proofErr w:type="spellEnd"/>
      <w:r w:rsidRPr="00576544">
        <w:rPr>
          <w:sz w:val="24"/>
          <w:szCs w:val="24"/>
        </w:rPr>
        <w:t xml:space="preserve"> eller </w:t>
      </w:r>
      <w:proofErr w:type="spellStart"/>
      <w:r w:rsidRPr="00576544">
        <w:rPr>
          <w:sz w:val="24"/>
          <w:szCs w:val="24"/>
        </w:rPr>
        <w:t>narasin</w:t>
      </w:r>
      <w:proofErr w:type="spellEnd"/>
      <w:r w:rsidRPr="00576544">
        <w:rPr>
          <w:sz w:val="24"/>
          <w:szCs w:val="24"/>
        </w:rPr>
        <w:t>.</w:t>
      </w:r>
      <w:r w:rsidRPr="00576544">
        <w:rPr>
          <w:b/>
          <w:sz w:val="24"/>
          <w:szCs w:val="24"/>
        </w:rPr>
        <w:t xml:space="preserve"> </w:t>
      </w:r>
      <w:r w:rsidRPr="00576544">
        <w:rPr>
          <w:sz w:val="24"/>
          <w:szCs w:val="24"/>
        </w:rPr>
        <w:t xml:space="preserve">Samtidig brug af </w:t>
      </w:r>
      <w:proofErr w:type="spellStart"/>
      <w:r w:rsidRPr="00576544">
        <w:rPr>
          <w:sz w:val="24"/>
          <w:szCs w:val="24"/>
        </w:rPr>
        <w:t>tiamulin</w:t>
      </w:r>
      <w:proofErr w:type="spellEnd"/>
      <w:r w:rsidRPr="00576544">
        <w:rPr>
          <w:sz w:val="24"/>
          <w:szCs w:val="24"/>
        </w:rPr>
        <w:t xml:space="preserve"> og de divalente </w:t>
      </w:r>
      <w:proofErr w:type="spellStart"/>
      <w:r w:rsidRPr="00576544">
        <w:rPr>
          <w:sz w:val="24"/>
          <w:szCs w:val="24"/>
        </w:rPr>
        <w:t>ionphore</w:t>
      </w:r>
      <w:proofErr w:type="spellEnd"/>
      <w:r w:rsidRPr="00576544">
        <w:rPr>
          <w:sz w:val="24"/>
          <w:szCs w:val="24"/>
        </w:rPr>
        <w:t xml:space="preserve"> coccidiosemidler </w:t>
      </w:r>
      <w:proofErr w:type="spellStart"/>
      <w:r w:rsidRPr="00576544">
        <w:rPr>
          <w:sz w:val="24"/>
          <w:szCs w:val="24"/>
        </w:rPr>
        <w:t>lasalocid</w:t>
      </w:r>
      <w:proofErr w:type="spellEnd"/>
      <w:r w:rsidRPr="00576544">
        <w:rPr>
          <w:sz w:val="24"/>
          <w:szCs w:val="24"/>
        </w:rPr>
        <w:t xml:space="preserve"> og </w:t>
      </w:r>
      <w:proofErr w:type="spellStart"/>
      <w:r w:rsidRPr="00576544">
        <w:rPr>
          <w:sz w:val="24"/>
          <w:szCs w:val="24"/>
        </w:rPr>
        <w:t>semduramicin</w:t>
      </w:r>
      <w:proofErr w:type="spellEnd"/>
      <w:r w:rsidRPr="00576544">
        <w:rPr>
          <w:sz w:val="24"/>
          <w:szCs w:val="24"/>
        </w:rPr>
        <w:t xml:space="preserve"> synes ikke at forårsage nogen interaktion. Samtidig brug af </w:t>
      </w:r>
      <w:proofErr w:type="spellStart"/>
      <w:r w:rsidRPr="00576544">
        <w:rPr>
          <w:sz w:val="24"/>
          <w:szCs w:val="24"/>
        </w:rPr>
        <w:t>maduamicin</w:t>
      </w:r>
      <w:proofErr w:type="spellEnd"/>
      <w:r w:rsidRPr="00576544">
        <w:rPr>
          <w:sz w:val="24"/>
          <w:szCs w:val="24"/>
        </w:rPr>
        <w:t xml:space="preserve"> kan dog medføre mild til moderat væksthæmning hos høns. Situationen er forbigående og bedring sker normalt indenfor 3-5 dage efter </w:t>
      </w:r>
      <w:proofErr w:type="spellStart"/>
      <w:r w:rsidRPr="00576544">
        <w:rPr>
          <w:sz w:val="24"/>
          <w:szCs w:val="24"/>
        </w:rPr>
        <w:t>tiamulinbehandlingen</w:t>
      </w:r>
      <w:proofErr w:type="spellEnd"/>
      <w:r w:rsidRPr="00576544">
        <w:rPr>
          <w:sz w:val="24"/>
          <w:szCs w:val="24"/>
        </w:rPr>
        <w:t xml:space="preserve"> er stoppet.</w:t>
      </w:r>
    </w:p>
    <w:p w14:paraId="759E9F33" w14:textId="77777777" w:rsidR="00913DF5" w:rsidRPr="00576544" w:rsidRDefault="00913DF5" w:rsidP="00913DF5">
      <w:pPr>
        <w:tabs>
          <w:tab w:val="left" w:pos="851"/>
        </w:tabs>
        <w:ind w:left="851"/>
        <w:rPr>
          <w:sz w:val="24"/>
          <w:szCs w:val="24"/>
        </w:rPr>
      </w:pPr>
    </w:p>
    <w:p w14:paraId="614E6A5A" w14:textId="77777777" w:rsidR="00913DF5" w:rsidRPr="00576544" w:rsidRDefault="00913DF5" w:rsidP="00913DF5">
      <w:pPr>
        <w:tabs>
          <w:tab w:val="left" w:pos="851"/>
        </w:tabs>
        <w:ind w:left="851" w:hanging="851"/>
        <w:rPr>
          <w:b/>
          <w:sz w:val="24"/>
          <w:szCs w:val="24"/>
        </w:rPr>
      </w:pPr>
      <w:r w:rsidRPr="00576544">
        <w:rPr>
          <w:b/>
          <w:sz w:val="24"/>
          <w:szCs w:val="24"/>
        </w:rPr>
        <w:t>3.9</w:t>
      </w:r>
      <w:r w:rsidRPr="00576544">
        <w:rPr>
          <w:b/>
          <w:sz w:val="24"/>
          <w:szCs w:val="24"/>
        </w:rPr>
        <w:tab/>
        <w:t>Administrationsveje og dosering</w:t>
      </w:r>
    </w:p>
    <w:p w14:paraId="5B65C3A7" w14:textId="77777777" w:rsidR="00DA3E75" w:rsidRPr="00576544" w:rsidRDefault="00DA3E75" w:rsidP="00DA3E75">
      <w:pPr>
        <w:ind w:left="851"/>
        <w:rPr>
          <w:bCs/>
          <w:sz w:val="24"/>
          <w:szCs w:val="24"/>
        </w:rPr>
      </w:pPr>
      <w:r w:rsidRPr="00576544">
        <w:rPr>
          <w:bCs/>
          <w:sz w:val="24"/>
          <w:szCs w:val="24"/>
        </w:rPr>
        <w:t>Til anvendelse i drikkevand.</w:t>
      </w:r>
    </w:p>
    <w:p w14:paraId="6A0FB435" w14:textId="77777777" w:rsidR="00DA3E75" w:rsidRPr="00576544" w:rsidRDefault="00DA3E75" w:rsidP="00DA3E75">
      <w:pPr>
        <w:ind w:left="851"/>
        <w:rPr>
          <w:bCs/>
          <w:sz w:val="24"/>
          <w:szCs w:val="24"/>
        </w:rPr>
      </w:pPr>
    </w:p>
    <w:p w14:paraId="77814D96" w14:textId="77777777" w:rsidR="00DA3E75" w:rsidRPr="00576544" w:rsidRDefault="00DA3E75" w:rsidP="00DA3E75">
      <w:pPr>
        <w:ind w:left="851"/>
        <w:rPr>
          <w:bCs/>
          <w:sz w:val="24"/>
          <w:szCs w:val="24"/>
        </w:rPr>
      </w:pPr>
      <w:r w:rsidRPr="00576544">
        <w:rPr>
          <w:bCs/>
          <w:sz w:val="24"/>
          <w:szCs w:val="24"/>
          <w:u w:val="single"/>
        </w:rPr>
        <w:t>Vejledning til fremstilling af opløsning</w:t>
      </w:r>
      <w:r w:rsidRPr="00576544">
        <w:rPr>
          <w:bCs/>
          <w:sz w:val="24"/>
          <w:szCs w:val="24"/>
        </w:rPr>
        <w:t>:</w:t>
      </w:r>
    </w:p>
    <w:p w14:paraId="368A68C2" w14:textId="77777777" w:rsidR="00DA3E75" w:rsidRPr="00576544" w:rsidRDefault="00DA3E75" w:rsidP="00DA3E75">
      <w:pPr>
        <w:ind w:left="851"/>
        <w:rPr>
          <w:bCs/>
          <w:sz w:val="24"/>
          <w:szCs w:val="24"/>
        </w:rPr>
      </w:pPr>
      <w:r w:rsidRPr="00576544">
        <w:rPr>
          <w:bCs/>
          <w:sz w:val="24"/>
          <w:szCs w:val="24"/>
        </w:rPr>
        <w:t xml:space="preserve">For at sikre korrekt dosering bør legemsvægten beregnes så nøjagtigt som muligt. Indtagelsen af medicineret vand afhænger af dyrenes kliniske tilstand. For at opnå den korrekte dosering kan det være nødvendigt at justere koncentrationen af </w:t>
      </w:r>
      <w:proofErr w:type="spellStart"/>
      <w:r w:rsidRPr="00576544">
        <w:rPr>
          <w:bCs/>
          <w:sz w:val="24"/>
          <w:szCs w:val="24"/>
        </w:rPr>
        <w:t>tiamulin</w:t>
      </w:r>
      <w:proofErr w:type="spellEnd"/>
      <w:r w:rsidRPr="00576544">
        <w:rPr>
          <w:bCs/>
          <w:sz w:val="24"/>
          <w:szCs w:val="24"/>
        </w:rPr>
        <w:t xml:space="preserve"> i overensstemmelse hermed.</w:t>
      </w:r>
    </w:p>
    <w:p w14:paraId="76E1984A" w14:textId="77777777" w:rsidR="00DA3E75" w:rsidRPr="00576544" w:rsidRDefault="00DA3E75" w:rsidP="00DA3E75">
      <w:pPr>
        <w:ind w:left="851"/>
        <w:rPr>
          <w:bCs/>
          <w:sz w:val="24"/>
          <w:szCs w:val="24"/>
        </w:rPr>
      </w:pPr>
    </w:p>
    <w:p w14:paraId="479C4977" w14:textId="77777777" w:rsidR="00DA3E75" w:rsidRPr="00576544" w:rsidRDefault="00DA3E75" w:rsidP="00DA3E75">
      <w:pPr>
        <w:ind w:left="851"/>
        <w:rPr>
          <w:bCs/>
          <w:sz w:val="24"/>
          <w:szCs w:val="24"/>
        </w:rPr>
      </w:pPr>
      <w:r w:rsidRPr="00576544">
        <w:rPr>
          <w:bCs/>
          <w:sz w:val="24"/>
          <w:szCs w:val="24"/>
        </w:rPr>
        <w:t>Baseret på den anbefalede dosis, antallet af dyr, der skal behandles, samt disses legemsvægt bør den nøjagtige daglige koncentration af veterinærlægemidlet beregnes efter følgende formel:</w:t>
      </w:r>
    </w:p>
    <w:p w14:paraId="51BB3A5D" w14:textId="77777777" w:rsidR="00DA3E75" w:rsidRPr="00576544" w:rsidRDefault="00DA3E75" w:rsidP="00DA3E75">
      <w:pPr>
        <w:tabs>
          <w:tab w:val="left" w:pos="1304"/>
        </w:tabs>
        <w:rPr>
          <w:bCs/>
          <w:sz w:val="24"/>
          <w:szCs w:val="24"/>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0"/>
        <w:gridCol w:w="339"/>
        <w:gridCol w:w="2712"/>
        <w:gridCol w:w="395"/>
        <w:gridCol w:w="2622"/>
      </w:tblGrid>
      <w:tr w:rsidR="00DA3E75" w:rsidRPr="00576544" w14:paraId="0992CAFB" w14:textId="77777777" w:rsidTr="00DA3E75">
        <w:tc>
          <w:tcPr>
            <w:tcW w:w="1852" w:type="pct"/>
            <w:tcBorders>
              <w:top w:val="nil"/>
              <w:left w:val="nil"/>
              <w:bottom w:val="single" w:sz="4" w:space="0" w:color="auto"/>
              <w:right w:val="nil"/>
            </w:tcBorders>
            <w:vAlign w:val="center"/>
            <w:hideMark/>
          </w:tcPr>
          <w:p w14:paraId="16BADD5A" w14:textId="77777777" w:rsidR="00DA3E75" w:rsidRPr="00576544" w:rsidRDefault="00DA3E75">
            <w:pPr>
              <w:jc w:val="center"/>
              <w:rPr>
                <w:i/>
                <w:iCs/>
                <w:sz w:val="24"/>
                <w:szCs w:val="24"/>
              </w:rPr>
            </w:pPr>
            <w:r w:rsidRPr="00576544">
              <w:rPr>
                <w:bCs/>
                <w:i/>
                <w:iCs/>
                <w:sz w:val="24"/>
                <w:szCs w:val="24"/>
              </w:rPr>
              <w:t>ml veterinærlægemiddel pr. kg legemsvægt dagligt</w:t>
            </w:r>
          </w:p>
        </w:tc>
        <w:tc>
          <w:tcPr>
            <w:tcW w:w="176" w:type="pct"/>
            <w:tcBorders>
              <w:top w:val="nil"/>
              <w:left w:val="nil"/>
              <w:bottom w:val="single" w:sz="4" w:space="0" w:color="auto"/>
              <w:right w:val="nil"/>
            </w:tcBorders>
            <w:vAlign w:val="center"/>
            <w:hideMark/>
          </w:tcPr>
          <w:p w14:paraId="19CA77D3" w14:textId="77777777" w:rsidR="00DA3E75" w:rsidRPr="00576544" w:rsidRDefault="00DA3E75">
            <w:pPr>
              <w:jc w:val="center"/>
              <w:rPr>
                <w:i/>
                <w:iCs/>
                <w:sz w:val="24"/>
                <w:szCs w:val="24"/>
              </w:rPr>
            </w:pPr>
            <w:r w:rsidRPr="00576544">
              <w:rPr>
                <w:i/>
                <w:iCs/>
                <w:sz w:val="24"/>
                <w:szCs w:val="24"/>
              </w:rPr>
              <w:t>x</w:t>
            </w:r>
          </w:p>
        </w:tc>
        <w:tc>
          <w:tcPr>
            <w:tcW w:w="1407" w:type="pct"/>
            <w:tcBorders>
              <w:top w:val="nil"/>
              <w:left w:val="nil"/>
              <w:bottom w:val="single" w:sz="4" w:space="0" w:color="auto"/>
              <w:right w:val="nil"/>
            </w:tcBorders>
            <w:vAlign w:val="center"/>
            <w:hideMark/>
          </w:tcPr>
          <w:p w14:paraId="0763A0FD" w14:textId="77777777" w:rsidR="00DA3E75" w:rsidRPr="00576544" w:rsidRDefault="00DA3E75">
            <w:pPr>
              <w:jc w:val="center"/>
              <w:rPr>
                <w:i/>
                <w:iCs/>
                <w:sz w:val="24"/>
                <w:szCs w:val="24"/>
              </w:rPr>
            </w:pPr>
            <w:r w:rsidRPr="00576544">
              <w:rPr>
                <w:bCs/>
                <w:i/>
                <w:iCs/>
                <w:sz w:val="24"/>
                <w:szCs w:val="24"/>
              </w:rPr>
              <w:t>gennemsnitlig legemsvægt (kg) af de dyr, der skal behandles</w:t>
            </w:r>
          </w:p>
        </w:tc>
        <w:tc>
          <w:tcPr>
            <w:tcW w:w="205" w:type="pct"/>
            <w:vMerge w:val="restart"/>
            <w:vAlign w:val="center"/>
            <w:hideMark/>
          </w:tcPr>
          <w:p w14:paraId="1423BA64" w14:textId="77777777" w:rsidR="00DA3E75" w:rsidRPr="00576544" w:rsidRDefault="00DA3E75">
            <w:pPr>
              <w:jc w:val="center"/>
              <w:rPr>
                <w:i/>
                <w:iCs/>
                <w:sz w:val="24"/>
                <w:szCs w:val="24"/>
              </w:rPr>
            </w:pPr>
            <w:r w:rsidRPr="00576544">
              <w:rPr>
                <w:i/>
                <w:iCs/>
                <w:sz w:val="24"/>
                <w:szCs w:val="24"/>
              </w:rPr>
              <w:t>=</w:t>
            </w:r>
          </w:p>
        </w:tc>
        <w:tc>
          <w:tcPr>
            <w:tcW w:w="1361" w:type="pct"/>
            <w:vMerge w:val="restart"/>
            <w:vAlign w:val="center"/>
            <w:hideMark/>
          </w:tcPr>
          <w:p w14:paraId="39B255CF" w14:textId="77777777" w:rsidR="00DA3E75" w:rsidRPr="00576544" w:rsidRDefault="00DA3E75">
            <w:pPr>
              <w:jc w:val="center"/>
              <w:rPr>
                <w:i/>
                <w:iCs/>
                <w:sz w:val="24"/>
                <w:szCs w:val="24"/>
              </w:rPr>
            </w:pPr>
            <w:r w:rsidRPr="00576544">
              <w:rPr>
                <w:bCs/>
                <w:i/>
                <w:iCs/>
                <w:sz w:val="24"/>
                <w:szCs w:val="24"/>
              </w:rPr>
              <w:t xml:space="preserve">ml veterinærlægemiddel pr. liter drikkevand </w:t>
            </w:r>
          </w:p>
        </w:tc>
      </w:tr>
      <w:tr w:rsidR="00DA3E75" w:rsidRPr="00576544" w14:paraId="3A61F0BC" w14:textId="77777777" w:rsidTr="00DA3E75">
        <w:tc>
          <w:tcPr>
            <w:tcW w:w="3435" w:type="pct"/>
            <w:gridSpan w:val="3"/>
            <w:tcBorders>
              <w:top w:val="single" w:sz="4" w:space="0" w:color="auto"/>
              <w:left w:val="nil"/>
              <w:bottom w:val="nil"/>
              <w:right w:val="nil"/>
            </w:tcBorders>
            <w:vAlign w:val="center"/>
            <w:hideMark/>
          </w:tcPr>
          <w:p w14:paraId="5F81BE6C" w14:textId="77777777" w:rsidR="00DA3E75" w:rsidRPr="00576544" w:rsidRDefault="00DA3E75">
            <w:pPr>
              <w:jc w:val="center"/>
              <w:rPr>
                <w:i/>
                <w:iCs/>
                <w:sz w:val="24"/>
                <w:szCs w:val="24"/>
              </w:rPr>
            </w:pPr>
            <w:r w:rsidRPr="00576544">
              <w:rPr>
                <w:bCs/>
                <w:i/>
                <w:iCs/>
                <w:sz w:val="24"/>
                <w:szCs w:val="24"/>
              </w:rPr>
              <w:t>gennemsnitligt dagligt vandindtag (l/dyr)</w:t>
            </w:r>
          </w:p>
        </w:tc>
        <w:tc>
          <w:tcPr>
            <w:tcW w:w="205" w:type="pct"/>
            <w:vMerge/>
            <w:vAlign w:val="center"/>
            <w:hideMark/>
          </w:tcPr>
          <w:p w14:paraId="0F731AC4" w14:textId="77777777" w:rsidR="00DA3E75" w:rsidRPr="00576544" w:rsidRDefault="00DA3E75">
            <w:pPr>
              <w:rPr>
                <w:i/>
                <w:iCs/>
                <w:sz w:val="24"/>
                <w:szCs w:val="24"/>
              </w:rPr>
            </w:pPr>
          </w:p>
        </w:tc>
        <w:tc>
          <w:tcPr>
            <w:tcW w:w="1361" w:type="pct"/>
            <w:vMerge/>
            <w:vAlign w:val="center"/>
            <w:hideMark/>
          </w:tcPr>
          <w:p w14:paraId="4DD68966" w14:textId="77777777" w:rsidR="00DA3E75" w:rsidRPr="00576544" w:rsidRDefault="00DA3E75">
            <w:pPr>
              <w:rPr>
                <w:i/>
                <w:iCs/>
                <w:sz w:val="24"/>
                <w:szCs w:val="24"/>
              </w:rPr>
            </w:pPr>
          </w:p>
        </w:tc>
      </w:tr>
    </w:tbl>
    <w:p w14:paraId="5A5D3E9A" w14:textId="77777777" w:rsidR="00DA3E75" w:rsidRPr="00576544" w:rsidRDefault="00DA3E75" w:rsidP="00DA3E75">
      <w:pPr>
        <w:tabs>
          <w:tab w:val="left" w:pos="1304"/>
        </w:tabs>
        <w:rPr>
          <w:bCs/>
          <w:sz w:val="24"/>
          <w:szCs w:val="24"/>
        </w:rPr>
      </w:pPr>
    </w:p>
    <w:p w14:paraId="46377FC6" w14:textId="77777777" w:rsidR="00DA3E75" w:rsidRPr="00576544" w:rsidRDefault="00DA3E75" w:rsidP="00DA3E75">
      <w:pPr>
        <w:ind w:left="851"/>
        <w:rPr>
          <w:bCs/>
          <w:sz w:val="24"/>
          <w:szCs w:val="24"/>
        </w:rPr>
      </w:pPr>
      <w:r w:rsidRPr="00576544">
        <w:rPr>
          <w:bCs/>
          <w:sz w:val="24"/>
          <w:szCs w:val="24"/>
        </w:rPr>
        <w:t xml:space="preserve">Benyt tilstrækkeligt kalibreret vejeudstyr til vejning af den nødvendige mængde veterinærlægemiddel. Brug kun rene tanke til fremstilling af det medicinerede vand. Rør om i mindst 1 minut efter fremstillingen for at sikre homogenitet. </w:t>
      </w:r>
    </w:p>
    <w:p w14:paraId="5A2DA2FF" w14:textId="77777777" w:rsidR="00DA3E75" w:rsidRPr="00576544" w:rsidRDefault="00DA3E75" w:rsidP="00DA3E75">
      <w:pPr>
        <w:ind w:left="851"/>
        <w:rPr>
          <w:bCs/>
          <w:sz w:val="24"/>
          <w:szCs w:val="24"/>
        </w:rPr>
      </w:pPr>
      <w:r w:rsidRPr="00576544">
        <w:rPr>
          <w:bCs/>
          <w:sz w:val="24"/>
          <w:szCs w:val="24"/>
        </w:rPr>
        <w:t>Ved medicinering af store mængder drikkevand tilberedes først en koncentreret opløsning, som efterfølgende fortyndes til den ønskede koncentration. Veterinærlægemidlets maksimale opløselighed er 200 ml/l.</w:t>
      </w:r>
    </w:p>
    <w:p w14:paraId="23D30933" w14:textId="77777777" w:rsidR="00DA3E75" w:rsidRPr="00576544" w:rsidRDefault="00DA3E75" w:rsidP="00DA3E75">
      <w:pPr>
        <w:ind w:left="851"/>
        <w:rPr>
          <w:bCs/>
          <w:sz w:val="24"/>
          <w:szCs w:val="24"/>
        </w:rPr>
      </w:pPr>
    </w:p>
    <w:p w14:paraId="7214A6F7" w14:textId="77777777" w:rsidR="00DA3E75" w:rsidRPr="00576544" w:rsidRDefault="00DA3E75" w:rsidP="00DA3E75">
      <w:pPr>
        <w:ind w:left="851"/>
        <w:rPr>
          <w:bCs/>
          <w:sz w:val="24"/>
          <w:szCs w:val="24"/>
        </w:rPr>
      </w:pPr>
      <w:r w:rsidRPr="00576544">
        <w:rPr>
          <w:bCs/>
          <w:sz w:val="24"/>
          <w:szCs w:val="24"/>
        </w:rPr>
        <w:t>Der bør tilberedes frisk medicineret vand hver dag.</w:t>
      </w:r>
    </w:p>
    <w:p w14:paraId="1D564FD6" w14:textId="77777777" w:rsidR="00DA3E75" w:rsidRPr="00576544" w:rsidRDefault="00DA3E75" w:rsidP="00DA3E75">
      <w:pPr>
        <w:ind w:left="851"/>
        <w:rPr>
          <w:bCs/>
          <w:sz w:val="24"/>
          <w:szCs w:val="24"/>
        </w:rPr>
      </w:pPr>
    </w:p>
    <w:p w14:paraId="13419332" w14:textId="77777777" w:rsidR="00DA3E75" w:rsidRPr="00576544" w:rsidRDefault="00DA3E75" w:rsidP="00DA3E75">
      <w:pPr>
        <w:ind w:left="851"/>
        <w:rPr>
          <w:bCs/>
          <w:sz w:val="24"/>
          <w:szCs w:val="24"/>
        </w:rPr>
      </w:pPr>
      <w:r w:rsidRPr="00576544">
        <w:rPr>
          <w:bCs/>
          <w:sz w:val="24"/>
          <w:szCs w:val="24"/>
        </w:rPr>
        <w:lastRenderedPageBreak/>
        <w:t xml:space="preserve">For at undgå interaktioner mellem </w:t>
      </w:r>
      <w:proofErr w:type="spellStart"/>
      <w:r w:rsidRPr="00576544">
        <w:rPr>
          <w:bCs/>
          <w:sz w:val="24"/>
          <w:szCs w:val="24"/>
        </w:rPr>
        <w:t>ionophorpræparater</w:t>
      </w:r>
      <w:proofErr w:type="spellEnd"/>
      <w:r w:rsidRPr="00576544">
        <w:rPr>
          <w:bCs/>
          <w:sz w:val="24"/>
          <w:szCs w:val="24"/>
        </w:rPr>
        <w:t xml:space="preserve"> og </w:t>
      </w:r>
      <w:proofErr w:type="spellStart"/>
      <w:r w:rsidRPr="00576544">
        <w:rPr>
          <w:bCs/>
          <w:sz w:val="24"/>
          <w:szCs w:val="24"/>
        </w:rPr>
        <w:t>tiamulin</w:t>
      </w:r>
      <w:proofErr w:type="spellEnd"/>
      <w:r w:rsidRPr="00576544">
        <w:rPr>
          <w:bCs/>
          <w:sz w:val="24"/>
          <w:szCs w:val="24"/>
        </w:rPr>
        <w:t xml:space="preserve"> bør dyrlægen og landmanden kontrollere, at etiketten på foderet ikke angiver, at det indeholder </w:t>
      </w:r>
      <w:proofErr w:type="spellStart"/>
      <w:r w:rsidRPr="00576544">
        <w:rPr>
          <w:bCs/>
          <w:sz w:val="24"/>
          <w:szCs w:val="24"/>
        </w:rPr>
        <w:t>salinomycon</w:t>
      </w:r>
      <w:proofErr w:type="spellEnd"/>
      <w:r w:rsidRPr="00576544">
        <w:rPr>
          <w:bCs/>
          <w:sz w:val="24"/>
          <w:szCs w:val="24"/>
        </w:rPr>
        <w:t xml:space="preserve">, </w:t>
      </w:r>
      <w:proofErr w:type="spellStart"/>
      <w:r w:rsidRPr="00576544">
        <w:rPr>
          <w:bCs/>
          <w:sz w:val="24"/>
          <w:szCs w:val="24"/>
        </w:rPr>
        <w:t>monensin</w:t>
      </w:r>
      <w:proofErr w:type="spellEnd"/>
      <w:r w:rsidRPr="00576544">
        <w:rPr>
          <w:bCs/>
          <w:sz w:val="24"/>
          <w:szCs w:val="24"/>
        </w:rPr>
        <w:t xml:space="preserve"> og </w:t>
      </w:r>
      <w:proofErr w:type="spellStart"/>
      <w:r w:rsidRPr="00576544">
        <w:rPr>
          <w:bCs/>
          <w:sz w:val="24"/>
          <w:szCs w:val="24"/>
        </w:rPr>
        <w:t>narasin</w:t>
      </w:r>
      <w:proofErr w:type="spellEnd"/>
      <w:r w:rsidRPr="00576544">
        <w:rPr>
          <w:bCs/>
          <w:sz w:val="24"/>
          <w:szCs w:val="24"/>
        </w:rPr>
        <w:t>.</w:t>
      </w:r>
    </w:p>
    <w:p w14:paraId="55B89F75" w14:textId="77777777" w:rsidR="00DA3E75" w:rsidRPr="00576544" w:rsidRDefault="00DA3E75" w:rsidP="00DA3E75">
      <w:pPr>
        <w:ind w:left="851"/>
        <w:rPr>
          <w:bCs/>
          <w:sz w:val="24"/>
          <w:szCs w:val="24"/>
        </w:rPr>
      </w:pPr>
      <w:r w:rsidRPr="00576544">
        <w:rPr>
          <w:bCs/>
          <w:sz w:val="24"/>
          <w:szCs w:val="24"/>
        </w:rPr>
        <w:t xml:space="preserve">Til høns: For at undgå interaktioner mellem de inkompatible </w:t>
      </w:r>
      <w:proofErr w:type="spellStart"/>
      <w:r w:rsidRPr="00576544">
        <w:rPr>
          <w:bCs/>
          <w:sz w:val="24"/>
          <w:szCs w:val="24"/>
        </w:rPr>
        <w:t>ionophorpræparater</w:t>
      </w:r>
      <w:proofErr w:type="spellEnd"/>
      <w:r w:rsidRPr="00576544">
        <w:rPr>
          <w:bCs/>
          <w:sz w:val="24"/>
          <w:szCs w:val="24"/>
        </w:rPr>
        <w:t xml:space="preserve"> </w:t>
      </w:r>
      <w:proofErr w:type="spellStart"/>
      <w:r w:rsidRPr="00576544">
        <w:rPr>
          <w:bCs/>
          <w:sz w:val="24"/>
          <w:szCs w:val="24"/>
        </w:rPr>
        <w:t>monensin</w:t>
      </w:r>
      <w:proofErr w:type="spellEnd"/>
      <w:r w:rsidRPr="00576544">
        <w:rPr>
          <w:bCs/>
          <w:sz w:val="24"/>
          <w:szCs w:val="24"/>
        </w:rPr>
        <w:t xml:space="preserve">, </w:t>
      </w:r>
      <w:proofErr w:type="spellStart"/>
      <w:r w:rsidRPr="00576544">
        <w:rPr>
          <w:bCs/>
          <w:sz w:val="24"/>
          <w:szCs w:val="24"/>
        </w:rPr>
        <w:t>narasin</w:t>
      </w:r>
      <w:proofErr w:type="spellEnd"/>
      <w:r w:rsidRPr="00576544">
        <w:rPr>
          <w:bCs/>
          <w:sz w:val="24"/>
          <w:szCs w:val="24"/>
        </w:rPr>
        <w:t xml:space="preserve"> og </w:t>
      </w:r>
      <w:proofErr w:type="spellStart"/>
      <w:r w:rsidRPr="00576544">
        <w:rPr>
          <w:bCs/>
          <w:sz w:val="24"/>
          <w:szCs w:val="24"/>
        </w:rPr>
        <w:t>salinomycin</w:t>
      </w:r>
      <w:proofErr w:type="spellEnd"/>
      <w:r w:rsidRPr="00576544">
        <w:rPr>
          <w:bCs/>
          <w:sz w:val="24"/>
          <w:szCs w:val="24"/>
        </w:rPr>
        <w:t xml:space="preserve"> og </w:t>
      </w:r>
      <w:proofErr w:type="spellStart"/>
      <w:r w:rsidRPr="00576544">
        <w:rPr>
          <w:bCs/>
          <w:sz w:val="24"/>
          <w:szCs w:val="24"/>
        </w:rPr>
        <w:t>tiamulin</w:t>
      </w:r>
      <w:proofErr w:type="spellEnd"/>
      <w:r w:rsidRPr="00576544">
        <w:rPr>
          <w:bCs/>
          <w:sz w:val="24"/>
          <w:szCs w:val="24"/>
        </w:rPr>
        <w:t xml:space="preserve"> bør fodermøllen, der leverer foder til fuglene, have besked om, at der vil blive anvendt </w:t>
      </w:r>
      <w:proofErr w:type="spellStart"/>
      <w:r w:rsidRPr="00576544">
        <w:rPr>
          <w:bCs/>
          <w:sz w:val="24"/>
          <w:szCs w:val="24"/>
        </w:rPr>
        <w:t>tiamulin</w:t>
      </w:r>
      <w:proofErr w:type="spellEnd"/>
      <w:r w:rsidRPr="00576544">
        <w:rPr>
          <w:bCs/>
          <w:sz w:val="24"/>
          <w:szCs w:val="24"/>
        </w:rPr>
        <w:t>, og at disse coccidiosemidler ikke må inkluderes i foderet eller kontaminere foderet.</w:t>
      </w:r>
    </w:p>
    <w:p w14:paraId="26CA317C" w14:textId="77777777" w:rsidR="00DA3E75" w:rsidRPr="00576544" w:rsidRDefault="00DA3E75" w:rsidP="00DA3E75">
      <w:pPr>
        <w:ind w:left="851"/>
        <w:rPr>
          <w:bCs/>
          <w:sz w:val="24"/>
          <w:szCs w:val="24"/>
        </w:rPr>
      </w:pPr>
      <w:r w:rsidRPr="00576544">
        <w:rPr>
          <w:bCs/>
          <w:sz w:val="24"/>
          <w:szCs w:val="24"/>
        </w:rPr>
        <w:t xml:space="preserve">Foderet bør undersøges for </w:t>
      </w:r>
      <w:proofErr w:type="spellStart"/>
      <w:r w:rsidRPr="00576544">
        <w:rPr>
          <w:bCs/>
          <w:sz w:val="24"/>
          <w:szCs w:val="24"/>
        </w:rPr>
        <w:t>ionophorpræparater</w:t>
      </w:r>
      <w:proofErr w:type="spellEnd"/>
      <w:r w:rsidRPr="00576544">
        <w:rPr>
          <w:bCs/>
          <w:sz w:val="24"/>
          <w:szCs w:val="24"/>
        </w:rPr>
        <w:t xml:space="preserve"> før anvendelse, hvis der foreligger en eventuel mistanke om, at foderet kan være kontamineret.</w:t>
      </w:r>
    </w:p>
    <w:p w14:paraId="35D91DB1" w14:textId="77777777" w:rsidR="00DA3E75" w:rsidRPr="00576544" w:rsidRDefault="00DA3E75" w:rsidP="00DA3E75">
      <w:pPr>
        <w:ind w:left="851"/>
        <w:rPr>
          <w:bCs/>
          <w:sz w:val="24"/>
          <w:szCs w:val="24"/>
        </w:rPr>
      </w:pPr>
      <w:r w:rsidRPr="00576544">
        <w:rPr>
          <w:bCs/>
          <w:sz w:val="24"/>
          <w:szCs w:val="24"/>
        </w:rPr>
        <w:t xml:space="preserve">Hvis der forekommer en interaktion, standses medicineringen med </w:t>
      </w:r>
      <w:proofErr w:type="spellStart"/>
      <w:r w:rsidRPr="00576544">
        <w:rPr>
          <w:bCs/>
          <w:sz w:val="24"/>
          <w:szCs w:val="24"/>
        </w:rPr>
        <w:t>tiamulin</w:t>
      </w:r>
      <w:proofErr w:type="spellEnd"/>
      <w:r w:rsidRPr="00576544">
        <w:rPr>
          <w:bCs/>
          <w:sz w:val="24"/>
          <w:szCs w:val="24"/>
        </w:rPr>
        <w:t xml:space="preserve"> straks, og det medicinerede vand erstattes med frisk drikkevand. Kontamineret foder fjernes så hurtigt som muligt og erstattes med foder, der ikke indeholder de </w:t>
      </w:r>
      <w:proofErr w:type="spellStart"/>
      <w:r w:rsidRPr="00576544">
        <w:rPr>
          <w:bCs/>
          <w:sz w:val="24"/>
          <w:szCs w:val="24"/>
        </w:rPr>
        <w:t>tiamulin</w:t>
      </w:r>
      <w:proofErr w:type="spellEnd"/>
      <w:r w:rsidRPr="00576544">
        <w:rPr>
          <w:bCs/>
          <w:sz w:val="24"/>
          <w:szCs w:val="24"/>
        </w:rPr>
        <w:t xml:space="preserve">-inkompatible </w:t>
      </w:r>
      <w:proofErr w:type="spellStart"/>
      <w:r w:rsidRPr="00576544">
        <w:rPr>
          <w:bCs/>
          <w:sz w:val="24"/>
          <w:szCs w:val="24"/>
        </w:rPr>
        <w:t>ionophorer</w:t>
      </w:r>
      <w:proofErr w:type="spellEnd"/>
    </w:p>
    <w:p w14:paraId="6554D941" w14:textId="77777777" w:rsidR="00DA3E75" w:rsidRPr="00576544" w:rsidRDefault="00DA3E75" w:rsidP="00DA3E75">
      <w:pPr>
        <w:ind w:left="851"/>
        <w:rPr>
          <w:bCs/>
          <w:sz w:val="24"/>
          <w:szCs w:val="24"/>
        </w:rPr>
      </w:pPr>
    </w:p>
    <w:p w14:paraId="031F772C" w14:textId="77777777" w:rsidR="00DA3E75" w:rsidRPr="00576544" w:rsidRDefault="00DA3E75" w:rsidP="00DA3E75">
      <w:pPr>
        <w:ind w:left="851"/>
        <w:rPr>
          <w:bCs/>
          <w:sz w:val="24"/>
          <w:szCs w:val="24"/>
        </w:rPr>
      </w:pPr>
      <w:r w:rsidRPr="00576544">
        <w:rPr>
          <w:bCs/>
          <w:sz w:val="24"/>
          <w:szCs w:val="24"/>
          <w:u w:val="single"/>
        </w:rPr>
        <w:t>Svin:</w:t>
      </w:r>
    </w:p>
    <w:p w14:paraId="692B7D51" w14:textId="77777777" w:rsidR="00DA3E75" w:rsidRPr="00576544" w:rsidRDefault="00DA3E75" w:rsidP="00DA3E75">
      <w:pPr>
        <w:pStyle w:val="Listeafsnit"/>
        <w:numPr>
          <w:ilvl w:val="0"/>
          <w:numId w:val="5"/>
        </w:numPr>
        <w:tabs>
          <w:tab w:val="clear" w:pos="567"/>
        </w:tabs>
        <w:spacing w:line="240" w:lineRule="auto"/>
        <w:ind w:left="1276" w:hanging="425"/>
        <w:rPr>
          <w:bCs/>
          <w:sz w:val="24"/>
          <w:szCs w:val="24"/>
        </w:rPr>
      </w:pPr>
      <w:r w:rsidRPr="00576544">
        <w:rPr>
          <w:bCs/>
          <w:sz w:val="24"/>
          <w:szCs w:val="24"/>
        </w:rPr>
        <w:t xml:space="preserve">Til behandling af svinedysenteri forårsaget af </w:t>
      </w:r>
      <w:proofErr w:type="spellStart"/>
      <w:r w:rsidRPr="00576544">
        <w:rPr>
          <w:bCs/>
          <w:i/>
          <w:sz w:val="24"/>
          <w:szCs w:val="24"/>
        </w:rPr>
        <w:t>Brachyspira</w:t>
      </w:r>
      <w:proofErr w:type="spellEnd"/>
      <w:r w:rsidRPr="00576544">
        <w:rPr>
          <w:bCs/>
          <w:i/>
          <w:sz w:val="24"/>
          <w:szCs w:val="24"/>
        </w:rPr>
        <w:t xml:space="preserve"> </w:t>
      </w:r>
      <w:proofErr w:type="spellStart"/>
      <w:r w:rsidRPr="00576544">
        <w:rPr>
          <w:bCs/>
          <w:i/>
          <w:sz w:val="24"/>
          <w:szCs w:val="24"/>
        </w:rPr>
        <w:t>hyodysenteriae</w:t>
      </w:r>
      <w:proofErr w:type="spellEnd"/>
      <w:r w:rsidRPr="00576544">
        <w:rPr>
          <w:bCs/>
          <w:i/>
          <w:sz w:val="24"/>
          <w:szCs w:val="24"/>
        </w:rPr>
        <w:t>.</w:t>
      </w:r>
    </w:p>
    <w:p w14:paraId="44737E52" w14:textId="77777777" w:rsidR="00DA3E75" w:rsidRPr="00576544" w:rsidRDefault="00DA3E75" w:rsidP="00DA3E75">
      <w:pPr>
        <w:ind w:left="1276"/>
        <w:rPr>
          <w:bCs/>
          <w:sz w:val="24"/>
          <w:szCs w:val="24"/>
        </w:rPr>
      </w:pPr>
      <w:r w:rsidRPr="00576544">
        <w:rPr>
          <w:bCs/>
          <w:sz w:val="24"/>
          <w:szCs w:val="24"/>
        </w:rPr>
        <w:t xml:space="preserve">Dosering: 8,8 mg </w:t>
      </w:r>
      <w:proofErr w:type="spellStart"/>
      <w:r w:rsidRPr="00576544">
        <w:rPr>
          <w:bCs/>
          <w:sz w:val="24"/>
          <w:szCs w:val="24"/>
        </w:rPr>
        <w:t>tiamulinhydrogenfumarat</w:t>
      </w:r>
      <w:proofErr w:type="spellEnd"/>
      <w:r w:rsidRPr="00576544">
        <w:rPr>
          <w:bCs/>
          <w:sz w:val="24"/>
          <w:szCs w:val="24"/>
        </w:rPr>
        <w:t>/kg legemsvægt (svarende til 7 ml af veterinærlægemidlet/100 kg legemsvægt) indgivet dagligt i svinenes drikkevand i 3-5 på hinanden følgende dage afhængigt af infektionens sværhedsgrad og/eller sygdommens varighed.</w:t>
      </w:r>
    </w:p>
    <w:p w14:paraId="1DC1DDDE" w14:textId="77777777" w:rsidR="00DA3E75" w:rsidRPr="00576544" w:rsidRDefault="00DA3E75" w:rsidP="00DA3E75">
      <w:pPr>
        <w:ind w:left="1276" w:hanging="425"/>
        <w:rPr>
          <w:bCs/>
          <w:sz w:val="24"/>
          <w:szCs w:val="24"/>
        </w:rPr>
      </w:pPr>
    </w:p>
    <w:p w14:paraId="31694B77" w14:textId="77777777" w:rsidR="00DA3E75" w:rsidRPr="00576544" w:rsidRDefault="00DA3E75" w:rsidP="00DA3E75">
      <w:pPr>
        <w:pStyle w:val="Listeafsnit"/>
        <w:numPr>
          <w:ilvl w:val="0"/>
          <w:numId w:val="5"/>
        </w:numPr>
        <w:tabs>
          <w:tab w:val="clear" w:pos="567"/>
        </w:tabs>
        <w:spacing w:line="240" w:lineRule="auto"/>
        <w:ind w:left="1276" w:hanging="425"/>
        <w:rPr>
          <w:bCs/>
          <w:sz w:val="24"/>
          <w:szCs w:val="24"/>
        </w:rPr>
      </w:pPr>
      <w:r w:rsidRPr="00576544">
        <w:rPr>
          <w:bCs/>
          <w:sz w:val="24"/>
          <w:szCs w:val="24"/>
        </w:rPr>
        <w:t xml:space="preserve">Til behandling af </w:t>
      </w:r>
      <w:proofErr w:type="spellStart"/>
      <w:r w:rsidRPr="00576544">
        <w:rPr>
          <w:bCs/>
          <w:sz w:val="24"/>
          <w:szCs w:val="24"/>
        </w:rPr>
        <w:t>porcin</w:t>
      </w:r>
      <w:proofErr w:type="spellEnd"/>
      <w:r w:rsidRPr="00576544">
        <w:rPr>
          <w:bCs/>
          <w:sz w:val="24"/>
          <w:szCs w:val="24"/>
        </w:rPr>
        <w:t xml:space="preserve"> </w:t>
      </w:r>
      <w:proofErr w:type="spellStart"/>
      <w:r w:rsidRPr="00576544">
        <w:rPr>
          <w:bCs/>
          <w:sz w:val="24"/>
          <w:szCs w:val="24"/>
        </w:rPr>
        <w:t>colonic</w:t>
      </w:r>
      <w:proofErr w:type="spellEnd"/>
      <w:r w:rsidRPr="00576544">
        <w:rPr>
          <w:bCs/>
          <w:sz w:val="24"/>
          <w:szCs w:val="24"/>
        </w:rPr>
        <w:t xml:space="preserve"> </w:t>
      </w:r>
      <w:proofErr w:type="spellStart"/>
      <w:r w:rsidRPr="00576544">
        <w:rPr>
          <w:bCs/>
          <w:sz w:val="24"/>
          <w:szCs w:val="24"/>
        </w:rPr>
        <w:t>spirochaetose</w:t>
      </w:r>
      <w:proofErr w:type="spellEnd"/>
      <w:r w:rsidRPr="00576544">
        <w:rPr>
          <w:bCs/>
          <w:sz w:val="24"/>
          <w:szCs w:val="24"/>
        </w:rPr>
        <w:t xml:space="preserve"> (colitis) forårsaget af </w:t>
      </w:r>
      <w:proofErr w:type="spellStart"/>
      <w:r w:rsidRPr="00576544">
        <w:rPr>
          <w:bCs/>
          <w:i/>
          <w:sz w:val="24"/>
          <w:szCs w:val="24"/>
        </w:rPr>
        <w:t>Brachyspira</w:t>
      </w:r>
      <w:proofErr w:type="spellEnd"/>
      <w:r w:rsidRPr="00576544">
        <w:rPr>
          <w:bCs/>
          <w:i/>
          <w:sz w:val="24"/>
          <w:szCs w:val="24"/>
        </w:rPr>
        <w:t xml:space="preserve"> </w:t>
      </w:r>
      <w:proofErr w:type="spellStart"/>
      <w:r w:rsidRPr="00576544">
        <w:rPr>
          <w:bCs/>
          <w:i/>
          <w:sz w:val="24"/>
          <w:szCs w:val="24"/>
        </w:rPr>
        <w:t>pilosicoli</w:t>
      </w:r>
      <w:proofErr w:type="spellEnd"/>
      <w:r w:rsidRPr="00576544">
        <w:rPr>
          <w:bCs/>
          <w:i/>
          <w:sz w:val="24"/>
          <w:szCs w:val="24"/>
        </w:rPr>
        <w:t>.</w:t>
      </w:r>
      <w:r w:rsidRPr="00576544">
        <w:rPr>
          <w:bCs/>
          <w:sz w:val="24"/>
          <w:szCs w:val="24"/>
        </w:rPr>
        <w:t xml:space="preserve"> Dosering: 8,8 mg </w:t>
      </w:r>
      <w:proofErr w:type="spellStart"/>
      <w:r w:rsidRPr="00576544">
        <w:rPr>
          <w:bCs/>
          <w:sz w:val="24"/>
          <w:szCs w:val="24"/>
        </w:rPr>
        <w:t>tiamulinhydrogenfumarat</w:t>
      </w:r>
      <w:proofErr w:type="spellEnd"/>
      <w:r w:rsidRPr="00576544">
        <w:rPr>
          <w:bCs/>
          <w:sz w:val="24"/>
          <w:szCs w:val="24"/>
        </w:rPr>
        <w:t>/kg legemsvægt (svarende til 7 ml af veterinærlægemidlet/100 kg legemsvægt) indgivet dagligt i svinenes drikkevand i 3-5 på hinanden følgende dage afhængigt af infektionens sværhedsgrad og/eller sygdommens varighed.</w:t>
      </w:r>
    </w:p>
    <w:p w14:paraId="2F80E874" w14:textId="77777777" w:rsidR="00DA3E75" w:rsidRPr="00576544" w:rsidRDefault="00DA3E75" w:rsidP="00DA3E75">
      <w:pPr>
        <w:ind w:left="1276" w:hanging="425"/>
        <w:rPr>
          <w:bCs/>
          <w:sz w:val="24"/>
          <w:szCs w:val="24"/>
        </w:rPr>
      </w:pPr>
    </w:p>
    <w:p w14:paraId="7F6263E8" w14:textId="77777777" w:rsidR="00DA3E75" w:rsidRPr="00576544" w:rsidRDefault="00DA3E75" w:rsidP="00DA3E75">
      <w:pPr>
        <w:pStyle w:val="Listeafsnit"/>
        <w:numPr>
          <w:ilvl w:val="0"/>
          <w:numId w:val="5"/>
        </w:numPr>
        <w:tabs>
          <w:tab w:val="clear" w:pos="567"/>
        </w:tabs>
        <w:spacing w:line="240" w:lineRule="auto"/>
        <w:ind w:left="1276" w:hanging="425"/>
        <w:rPr>
          <w:bCs/>
          <w:sz w:val="24"/>
          <w:szCs w:val="24"/>
        </w:rPr>
      </w:pPr>
      <w:r w:rsidRPr="00576544">
        <w:rPr>
          <w:bCs/>
          <w:sz w:val="24"/>
          <w:szCs w:val="24"/>
        </w:rPr>
        <w:t xml:space="preserve">Til behandling af </w:t>
      </w:r>
      <w:proofErr w:type="spellStart"/>
      <w:r w:rsidRPr="00576544">
        <w:rPr>
          <w:bCs/>
          <w:sz w:val="24"/>
          <w:szCs w:val="24"/>
        </w:rPr>
        <w:t>porcin</w:t>
      </w:r>
      <w:proofErr w:type="spellEnd"/>
      <w:r w:rsidRPr="00576544">
        <w:rPr>
          <w:bCs/>
          <w:sz w:val="24"/>
          <w:szCs w:val="24"/>
        </w:rPr>
        <w:t xml:space="preserve"> </w:t>
      </w:r>
      <w:proofErr w:type="spellStart"/>
      <w:r w:rsidRPr="00576544">
        <w:rPr>
          <w:bCs/>
          <w:sz w:val="24"/>
          <w:szCs w:val="24"/>
        </w:rPr>
        <w:t>proliferativ</w:t>
      </w:r>
      <w:proofErr w:type="spellEnd"/>
      <w:r w:rsidRPr="00576544">
        <w:rPr>
          <w:bCs/>
          <w:sz w:val="24"/>
          <w:szCs w:val="24"/>
        </w:rPr>
        <w:t xml:space="preserve"> </w:t>
      </w:r>
      <w:proofErr w:type="spellStart"/>
      <w:r w:rsidRPr="00576544">
        <w:rPr>
          <w:bCs/>
          <w:sz w:val="24"/>
          <w:szCs w:val="24"/>
        </w:rPr>
        <w:t>enteropati</w:t>
      </w:r>
      <w:proofErr w:type="spellEnd"/>
      <w:r w:rsidRPr="00576544">
        <w:rPr>
          <w:bCs/>
          <w:sz w:val="24"/>
          <w:szCs w:val="24"/>
        </w:rPr>
        <w:t xml:space="preserve"> (</w:t>
      </w:r>
      <w:proofErr w:type="spellStart"/>
      <w:r w:rsidRPr="00576544">
        <w:rPr>
          <w:bCs/>
          <w:sz w:val="24"/>
          <w:szCs w:val="24"/>
        </w:rPr>
        <w:t>ileitis</w:t>
      </w:r>
      <w:proofErr w:type="spellEnd"/>
      <w:r w:rsidRPr="00576544">
        <w:rPr>
          <w:bCs/>
          <w:sz w:val="24"/>
          <w:szCs w:val="24"/>
        </w:rPr>
        <w:t xml:space="preserve">) forårsaget af </w:t>
      </w:r>
      <w:proofErr w:type="spellStart"/>
      <w:r w:rsidRPr="00576544">
        <w:rPr>
          <w:bCs/>
          <w:i/>
          <w:sz w:val="24"/>
          <w:szCs w:val="24"/>
        </w:rPr>
        <w:t>Lawsonia</w:t>
      </w:r>
      <w:proofErr w:type="spellEnd"/>
      <w:r w:rsidRPr="00576544">
        <w:rPr>
          <w:bCs/>
          <w:i/>
          <w:sz w:val="24"/>
          <w:szCs w:val="24"/>
        </w:rPr>
        <w:t xml:space="preserve"> </w:t>
      </w:r>
      <w:proofErr w:type="spellStart"/>
      <w:r w:rsidRPr="00576544">
        <w:rPr>
          <w:bCs/>
          <w:i/>
          <w:sz w:val="24"/>
          <w:szCs w:val="24"/>
        </w:rPr>
        <w:t>intracellularis</w:t>
      </w:r>
      <w:proofErr w:type="spellEnd"/>
      <w:r w:rsidRPr="00576544">
        <w:rPr>
          <w:bCs/>
          <w:sz w:val="24"/>
          <w:szCs w:val="24"/>
        </w:rPr>
        <w:t xml:space="preserve">. Dosering: 8,8 mg </w:t>
      </w:r>
      <w:proofErr w:type="spellStart"/>
      <w:r w:rsidRPr="00576544">
        <w:rPr>
          <w:bCs/>
          <w:sz w:val="24"/>
          <w:szCs w:val="24"/>
        </w:rPr>
        <w:t>tiamolinhydrogenfumarat</w:t>
      </w:r>
      <w:proofErr w:type="spellEnd"/>
      <w:r w:rsidRPr="00576544">
        <w:rPr>
          <w:bCs/>
          <w:sz w:val="24"/>
          <w:szCs w:val="24"/>
        </w:rPr>
        <w:t>/kg legemsvægt (svarende til 7 ml af veterinærlægemidlet/100 kg legemsvægt) indgivet dagligt i svinenes drikkevand i 5 på hinanden følgende dage.</w:t>
      </w:r>
    </w:p>
    <w:p w14:paraId="7C9FBD34" w14:textId="77777777" w:rsidR="00DA3E75" w:rsidRPr="00576544" w:rsidRDefault="00DA3E75" w:rsidP="00DA3E75">
      <w:pPr>
        <w:ind w:left="1276" w:hanging="425"/>
        <w:rPr>
          <w:bCs/>
          <w:sz w:val="24"/>
          <w:szCs w:val="24"/>
        </w:rPr>
      </w:pPr>
    </w:p>
    <w:p w14:paraId="172A72E6" w14:textId="77777777" w:rsidR="00DA3E75" w:rsidRPr="00576544" w:rsidRDefault="00DA3E75" w:rsidP="00DA3E75">
      <w:pPr>
        <w:pStyle w:val="Listeafsnit"/>
        <w:numPr>
          <w:ilvl w:val="0"/>
          <w:numId w:val="5"/>
        </w:numPr>
        <w:tabs>
          <w:tab w:val="clear" w:pos="567"/>
        </w:tabs>
        <w:spacing w:line="240" w:lineRule="auto"/>
        <w:ind w:left="1276" w:hanging="425"/>
        <w:rPr>
          <w:bCs/>
          <w:sz w:val="24"/>
          <w:szCs w:val="24"/>
        </w:rPr>
      </w:pPr>
      <w:r w:rsidRPr="00576544">
        <w:rPr>
          <w:bCs/>
          <w:sz w:val="24"/>
          <w:szCs w:val="24"/>
        </w:rPr>
        <w:t xml:space="preserve">Til behandling og </w:t>
      </w:r>
      <w:proofErr w:type="spellStart"/>
      <w:r w:rsidRPr="00576544">
        <w:rPr>
          <w:bCs/>
          <w:sz w:val="24"/>
          <w:szCs w:val="24"/>
        </w:rPr>
        <w:t>metafylakse</w:t>
      </w:r>
      <w:proofErr w:type="spellEnd"/>
      <w:r w:rsidRPr="00576544">
        <w:rPr>
          <w:bCs/>
          <w:sz w:val="24"/>
          <w:szCs w:val="24"/>
        </w:rPr>
        <w:t xml:space="preserve"> af </w:t>
      </w:r>
      <w:proofErr w:type="spellStart"/>
      <w:r w:rsidRPr="00576544">
        <w:rPr>
          <w:bCs/>
          <w:sz w:val="24"/>
          <w:szCs w:val="24"/>
        </w:rPr>
        <w:t>enzootisk</w:t>
      </w:r>
      <w:proofErr w:type="spellEnd"/>
      <w:r w:rsidRPr="00576544">
        <w:rPr>
          <w:bCs/>
          <w:sz w:val="24"/>
          <w:szCs w:val="24"/>
        </w:rPr>
        <w:t xml:space="preserve"> pneumoni forårsaget af </w:t>
      </w:r>
      <w:proofErr w:type="spellStart"/>
      <w:r w:rsidRPr="00576544">
        <w:rPr>
          <w:bCs/>
          <w:i/>
          <w:sz w:val="24"/>
          <w:szCs w:val="24"/>
        </w:rPr>
        <w:t>Mycoplasma</w:t>
      </w:r>
      <w:proofErr w:type="spellEnd"/>
      <w:r w:rsidRPr="00576544">
        <w:rPr>
          <w:bCs/>
          <w:i/>
          <w:sz w:val="24"/>
          <w:szCs w:val="24"/>
        </w:rPr>
        <w:t xml:space="preserve"> </w:t>
      </w:r>
      <w:proofErr w:type="spellStart"/>
      <w:r w:rsidRPr="00576544">
        <w:rPr>
          <w:bCs/>
          <w:i/>
          <w:sz w:val="24"/>
          <w:szCs w:val="24"/>
        </w:rPr>
        <w:t>hyopneumoniae</w:t>
      </w:r>
      <w:proofErr w:type="spellEnd"/>
      <w:r w:rsidRPr="00576544">
        <w:rPr>
          <w:bCs/>
          <w:sz w:val="24"/>
          <w:szCs w:val="24"/>
        </w:rPr>
        <w:t xml:space="preserve">, herunder infektioner kompliceret af </w:t>
      </w:r>
      <w:proofErr w:type="spellStart"/>
      <w:r w:rsidRPr="00576544">
        <w:rPr>
          <w:bCs/>
          <w:sz w:val="24"/>
          <w:szCs w:val="24"/>
        </w:rPr>
        <w:t>tiamulinfølsomme</w:t>
      </w:r>
      <w:proofErr w:type="spellEnd"/>
      <w:r w:rsidRPr="00576544">
        <w:rPr>
          <w:bCs/>
          <w:sz w:val="24"/>
          <w:szCs w:val="24"/>
        </w:rPr>
        <w:t xml:space="preserve"> stammer af </w:t>
      </w:r>
      <w:proofErr w:type="spellStart"/>
      <w:r w:rsidRPr="00576544">
        <w:rPr>
          <w:bCs/>
          <w:i/>
          <w:sz w:val="24"/>
          <w:szCs w:val="24"/>
        </w:rPr>
        <w:t>Pasteurella</w:t>
      </w:r>
      <w:proofErr w:type="spellEnd"/>
      <w:r w:rsidRPr="00576544">
        <w:rPr>
          <w:bCs/>
          <w:i/>
          <w:sz w:val="24"/>
          <w:szCs w:val="24"/>
        </w:rPr>
        <w:t xml:space="preserve"> </w:t>
      </w:r>
      <w:proofErr w:type="spellStart"/>
      <w:r w:rsidRPr="00576544">
        <w:rPr>
          <w:bCs/>
          <w:i/>
          <w:sz w:val="24"/>
          <w:szCs w:val="24"/>
        </w:rPr>
        <w:t>multocida</w:t>
      </w:r>
      <w:proofErr w:type="spellEnd"/>
      <w:r w:rsidRPr="00576544">
        <w:rPr>
          <w:bCs/>
          <w:sz w:val="24"/>
          <w:szCs w:val="24"/>
        </w:rPr>
        <w:t xml:space="preserve">. Dosering: 20 mg </w:t>
      </w:r>
      <w:proofErr w:type="spellStart"/>
      <w:r w:rsidRPr="00576544">
        <w:rPr>
          <w:bCs/>
          <w:sz w:val="24"/>
          <w:szCs w:val="24"/>
        </w:rPr>
        <w:t>tiamulinhydrogenfumarat</w:t>
      </w:r>
      <w:proofErr w:type="spellEnd"/>
      <w:r w:rsidRPr="00576544">
        <w:rPr>
          <w:bCs/>
          <w:sz w:val="24"/>
          <w:szCs w:val="24"/>
        </w:rPr>
        <w:t>/kg legemsvægt (svarende til 16 ml af veterinærlægemidlet/100 kg legemsvægt) indgivet dagligt i 5 på hinanden følgende dage.</w:t>
      </w:r>
    </w:p>
    <w:p w14:paraId="52869089" w14:textId="77777777" w:rsidR="00DA3E75" w:rsidRPr="00576544" w:rsidRDefault="00DA3E75" w:rsidP="00DA3E75">
      <w:pPr>
        <w:tabs>
          <w:tab w:val="left" w:pos="1304"/>
        </w:tabs>
        <w:rPr>
          <w:bCs/>
          <w:sz w:val="24"/>
          <w:szCs w:val="24"/>
        </w:rPr>
      </w:pPr>
    </w:p>
    <w:p w14:paraId="0F63AD57" w14:textId="77777777" w:rsidR="00DA3E75" w:rsidRPr="00576544" w:rsidRDefault="00DA3E75" w:rsidP="00DA3E75">
      <w:pPr>
        <w:ind w:left="851"/>
        <w:rPr>
          <w:bCs/>
          <w:sz w:val="24"/>
          <w:szCs w:val="24"/>
        </w:rPr>
      </w:pPr>
      <w:r w:rsidRPr="00576544">
        <w:rPr>
          <w:bCs/>
          <w:sz w:val="24"/>
          <w:szCs w:val="24"/>
          <w:u w:val="single"/>
        </w:rPr>
        <w:t>Høns (æglæggende høns)</w:t>
      </w:r>
    </w:p>
    <w:p w14:paraId="7DFDA6B6" w14:textId="77777777" w:rsidR="00DA3E75" w:rsidRPr="00576544" w:rsidRDefault="00DA3E75" w:rsidP="00DA3E75">
      <w:pPr>
        <w:pStyle w:val="Listeafsnit"/>
        <w:numPr>
          <w:ilvl w:val="0"/>
          <w:numId w:val="5"/>
        </w:numPr>
        <w:tabs>
          <w:tab w:val="clear" w:pos="567"/>
        </w:tabs>
        <w:spacing w:line="240" w:lineRule="auto"/>
        <w:ind w:left="1276" w:hanging="425"/>
        <w:rPr>
          <w:bCs/>
          <w:i/>
          <w:sz w:val="24"/>
          <w:szCs w:val="24"/>
        </w:rPr>
      </w:pPr>
      <w:r w:rsidRPr="00576544">
        <w:rPr>
          <w:bCs/>
          <w:sz w:val="24"/>
          <w:szCs w:val="24"/>
        </w:rPr>
        <w:t xml:space="preserve">Til behandling og </w:t>
      </w:r>
      <w:proofErr w:type="spellStart"/>
      <w:r w:rsidRPr="00576544">
        <w:rPr>
          <w:bCs/>
          <w:sz w:val="24"/>
          <w:szCs w:val="24"/>
        </w:rPr>
        <w:t>metafylakse</w:t>
      </w:r>
      <w:proofErr w:type="spellEnd"/>
      <w:r w:rsidRPr="00576544">
        <w:rPr>
          <w:bCs/>
          <w:sz w:val="24"/>
          <w:szCs w:val="24"/>
        </w:rPr>
        <w:t xml:space="preserve"> af kronisk respiratorisk sygdom forårsaget af </w:t>
      </w:r>
      <w:proofErr w:type="spellStart"/>
      <w:r w:rsidRPr="00576544">
        <w:rPr>
          <w:bCs/>
          <w:i/>
          <w:sz w:val="24"/>
          <w:szCs w:val="24"/>
        </w:rPr>
        <w:t>Mycoplasma</w:t>
      </w:r>
      <w:proofErr w:type="spellEnd"/>
      <w:r w:rsidRPr="00576544">
        <w:rPr>
          <w:bCs/>
          <w:i/>
          <w:sz w:val="24"/>
          <w:szCs w:val="24"/>
        </w:rPr>
        <w:t xml:space="preserve"> </w:t>
      </w:r>
      <w:proofErr w:type="spellStart"/>
      <w:r w:rsidRPr="00576544">
        <w:rPr>
          <w:bCs/>
          <w:i/>
          <w:sz w:val="24"/>
          <w:szCs w:val="24"/>
        </w:rPr>
        <w:t>gallisepticum</w:t>
      </w:r>
      <w:proofErr w:type="spellEnd"/>
      <w:r w:rsidRPr="00576544">
        <w:rPr>
          <w:bCs/>
          <w:sz w:val="24"/>
          <w:szCs w:val="24"/>
        </w:rPr>
        <w:t xml:space="preserve"> og infektioner i luftsækkene og</w:t>
      </w:r>
      <w:r w:rsidRPr="00576544">
        <w:rPr>
          <w:bCs/>
          <w:i/>
          <w:sz w:val="24"/>
          <w:szCs w:val="24"/>
        </w:rPr>
        <w:t xml:space="preserve"> </w:t>
      </w:r>
      <w:r w:rsidRPr="00576544">
        <w:rPr>
          <w:bCs/>
          <w:sz w:val="24"/>
          <w:szCs w:val="24"/>
        </w:rPr>
        <w:t xml:space="preserve">smitsom </w:t>
      </w:r>
      <w:proofErr w:type="spellStart"/>
      <w:r w:rsidRPr="00576544">
        <w:rPr>
          <w:bCs/>
          <w:sz w:val="24"/>
          <w:szCs w:val="24"/>
        </w:rPr>
        <w:t>synovitis</w:t>
      </w:r>
      <w:proofErr w:type="spellEnd"/>
      <w:r w:rsidRPr="00576544">
        <w:rPr>
          <w:bCs/>
          <w:sz w:val="24"/>
          <w:szCs w:val="24"/>
        </w:rPr>
        <w:t xml:space="preserve"> forårsaget af </w:t>
      </w:r>
      <w:proofErr w:type="spellStart"/>
      <w:r w:rsidRPr="00576544">
        <w:rPr>
          <w:bCs/>
          <w:i/>
          <w:sz w:val="24"/>
          <w:szCs w:val="24"/>
        </w:rPr>
        <w:t>Mycoplasma</w:t>
      </w:r>
      <w:proofErr w:type="spellEnd"/>
      <w:r w:rsidRPr="00576544">
        <w:rPr>
          <w:bCs/>
          <w:i/>
          <w:sz w:val="24"/>
          <w:szCs w:val="24"/>
        </w:rPr>
        <w:t xml:space="preserve"> </w:t>
      </w:r>
      <w:proofErr w:type="spellStart"/>
      <w:r w:rsidRPr="00576544">
        <w:rPr>
          <w:bCs/>
          <w:i/>
          <w:sz w:val="24"/>
          <w:szCs w:val="24"/>
        </w:rPr>
        <w:t>synoviae</w:t>
      </w:r>
      <w:proofErr w:type="spellEnd"/>
      <w:r w:rsidRPr="00576544">
        <w:rPr>
          <w:bCs/>
          <w:i/>
          <w:sz w:val="24"/>
          <w:szCs w:val="24"/>
        </w:rPr>
        <w:t xml:space="preserve">. </w:t>
      </w:r>
      <w:r w:rsidRPr="00576544">
        <w:rPr>
          <w:bCs/>
          <w:sz w:val="24"/>
          <w:szCs w:val="24"/>
        </w:rPr>
        <w:t xml:space="preserve">Dosering: 25 mg </w:t>
      </w:r>
      <w:proofErr w:type="spellStart"/>
      <w:r w:rsidRPr="00576544">
        <w:rPr>
          <w:bCs/>
          <w:sz w:val="24"/>
          <w:szCs w:val="24"/>
        </w:rPr>
        <w:t>tiamulinhydrogenfumarat</w:t>
      </w:r>
      <w:proofErr w:type="spellEnd"/>
      <w:r w:rsidRPr="00576544">
        <w:rPr>
          <w:bCs/>
          <w:sz w:val="24"/>
          <w:szCs w:val="24"/>
        </w:rPr>
        <w:t>/kg legemsvægt (svarende til 20 ml af veterinærlægemidlet/100 kg legemsvægt) indgivet dagligt i 3-5 på hinanden følgende dage.</w:t>
      </w:r>
    </w:p>
    <w:p w14:paraId="3E24479D" w14:textId="77777777" w:rsidR="00913DF5" w:rsidRPr="00576544" w:rsidRDefault="00913DF5" w:rsidP="00913DF5">
      <w:pPr>
        <w:tabs>
          <w:tab w:val="left" w:pos="851"/>
        </w:tabs>
        <w:ind w:left="851"/>
        <w:rPr>
          <w:sz w:val="24"/>
          <w:szCs w:val="24"/>
        </w:rPr>
      </w:pPr>
    </w:p>
    <w:p w14:paraId="10DC2522" w14:textId="77777777" w:rsidR="00913DF5" w:rsidRPr="00576544" w:rsidRDefault="00913DF5" w:rsidP="00913DF5">
      <w:pPr>
        <w:tabs>
          <w:tab w:val="left" w:pos="851"/>
        </w:tabs>
        <w:ind w:left="851" w:hanging="851"/>
        <w:rPr>
          <w:b/>
          <w:sz w:val="24"/>
          <w:szCs w:val="24"/>
        </w:rPr>
      </w:pPr>
      <w:r w:rsidRPr="00576544">
        <w:rPr>
          <w:b/>
          <w:sz w:val="24"/>
          <w:szCs w:val="24"/>
        </w:rPr>
        <w:t>3.10</w:t>
      </w:r>
      <w:r w:rsidRPr="00576544">
        <w:rPr>
          <w:b/>
          <w:sz w:val="24"/>
          <w:szCs w:val="24"/>
        </w:rPr>
        <w:tab/>
        <w:t>Symptomer på overdosering (og, hvis relevant, nødforanstaltninger og modgift)</w:t>
      </w:r>
    </w:p>
    <w:p w14:paraId="19E951DA" w14:textId="77777777" w:rsidR="00576544" w:rsidRDefault="00576544" w:rsidP="00DA3E75">
      <w:pPr>
        <w:ind w:left="851"/>
        <w:rPr>
          <w:sz w:val="24"/>
          <w:szCs w:val="24"/>
          <w:u w:val="single"/>
        </w:rPr>
      </w:pPr>
    </w:p>
    <w:p w14:paraId="33091AAC" w14:textId="2D8672A8" w:rsidR="00DA3E75" w:rsidRPr="00576544" w:rsidRDefault="00DA3E75" w:rsidP="00DA3E75">
      <w:pPr>
        <w:ind w:left="851"/>
        <w:rPr>
          <w:b/>
          <w:sz w:val="24"/>
          <w:szCs w:val="24"/>
        </w:rPr>
      </w:pPr>
      <w:r w:rsidRPr="00576544">
        <w:rPr>
          <w:sz w:val="24"/>
          <w:szCs w:val="24"/>
          <w:u w:val="single"/>
        </w:rPr>
        <w:t>Svin</w:t>
      </w:r>
      <w:r w:rsidRPr="00576544">
        <w:rPr>
          <w:sz w:val="24"/>
          <w:szCs w:val="24"/>
        </w:rPr>
        <w:t>:</w:t>
      </w:r>
    </w:p>
    <w:p w14:paraId="7F50F82B" w14:textId="77777777" w:rsidR="00DA3E75" w:rsidRPr="00576544" w:rsidRDefault="00DA3E75" w:rsidP="00DA3E75">
      <w:pPr>
        <w:tabs>
          <w:tab w:val="left" w:pos="8222"/>
        </w:tabs>
        <w:ind w:left="851"/>
        <w:rPr>
          <w:spacing w:val="-3"/>
          <w:sz w:val="24"/>
          <w:szCs w:val="24"/>
        </w:rPr>
      </w:pPr>
      <w:r w:rsidRPr="00576544">
        <w:rPr>
          <w:sz w:val="24"/>
          <w:szCs w:val="24"/>
        </w:rPr>
        <w:t xml:space="preserve">Enkelte orale doser på 100 mg </w:t>
      </w:r>
      <w:proofErr w:type="spellStart"/>
      <w:r w:rsidRPr="00576544">
        <w:rPr>
          <w:sz w:val="24"/>
          <w:szCs w:val="24"/>
        </w:rPr>
        <w:t>tiamulinhydrogenfumarat</w:t>
      </w:r>
      <w:proofErr w:type="spellEnd"/>
      <w:r w:rsidRPr="00576544">
        <w:rPr>
          <w:sz w:val="24"/>
          <w:szCs w:val="24"/>
        </w:rPr>
        <w:t xml:space="preserve">/kg legemsvægt forårsagede </w:t>
      </w:r>
      <w:proofErr w:type="spellStart"/>
      <w:r w:rsidRPr="00576544">
        <w:rPr>
          <w:sz w:val="24"/>
          <w:szCs w:val="24"/>
        </w:rPr>
        <w:t>hyperpnø</w:t>
      </w:r>
      <w:proofErr w:type="spellEnd"/>
      <w:r w:rsidRPr="00576544">
        <w:rPr>
          <w:sz w:val="24"/>
          <w:szCs w:val="24"/>
        </w:rPr>
        <w:t xml:space="preserve"> og mavegener hos svin. Ved en dosis på 150 mg </w:t>
      </w:r>
      <w:proofErr w:type="spellStart"/>
      <w:r w:rsidRPr="00576544">
        <w:rPr>
          <w:sz w:val="24"/>
          <w:szCs w:val="24"/>
        </w:rPr>
        <w:t>tiamulinhydrogenfumarat</w:t>
      </w:r>
      <w:proofErr w:type="spellEnd"/>
      <w:r w:rsidRPr="00576544">
        <w:rPr>
          <w:sz w:val="24"/>
          <w:szCs w:val="24"/>
        </w:rPr>
        <w:t xml:space="preserve">/kg legemsvægt blev der ikke observeret nogen effekt på centralnervesystemet bortset fra </w:t>
      </w:r>
      <w:r w:rsidRPr="00576544">
        <w:rPr>
          <w:sz w:val="24"/>
          <w:szCs w:val="24"/>
        </w:rPr>
        <w:lastRenderedPageBreak/>
        <w:t xml:space="preserve">sløvhed. Ved en dosis på 55 mg </w:t>
      </w:r>
      <w:proofErr w:type="spellStart"/>
      <w:r w:rsidRPr="00576544">
        <w:rPr>
          <w:sz w:val="24"/>
          <w:szCs w:val="24"/>
        </w:rPr>
        <w:t>tiamulinhydrogenfumarat</w:t>
      </w:r>
      <w:proofErr w:type="spellEnd"/>
      <w:r w:rsidRPr="00576544">
        <w:rPr>
          <w:sz w:val="24"/>
          <w:szCs w:val="24"/>
        </w:rPr>
        <w:t xml:space="preserve">/kg legemsvægt indgivet dagligt i 14 på hinanden følgende dage, opstod der en forøget spytafsondring og en mild irritation af maven. </w:t>
      </w:r>
      <w:proofErr w:type="spellStart"/>
      <w:r w:rsidRPr="00576544">
        <w:rPr>
          <w:bCs/>
          <w:sz w:val="24"/>
          <w:szCs w:val="24"/>
        </w:rPr>
        <w:t>Tiamulinhydrogenfumarat</w:t>
      </w:r>
      <w:proofErr w:type="spellEnd"/>
      <w:r w:rsidRPr="00576544">
        <w:rPr>
          <w:bCs/>
          <w:sz w:val="24"/>
          <w:szCs w:val="24"/>
        </w:rPr>
        <w:t xml:space="preserve"> anses for at have et tilstrækkeligt højt </w:t>
      </w:r>
      <w:r w:rsidRPr="00576544">
        <w:rPr>
          <w:spacing w:val="-3"/>
          <w:sz w:val="24"/>
          <w:szCs w:val="24"/>
        </w:rPr>
        <w:t>terapeutisk indeks hos svin. Den mindste dødelige dosis hos svin er ikke fastlagt.</w:t>
      </w:r>
    </w:p>
    <w:p w14:paraId="604D98F5" w14:textId="77777777" w:rsidR="00DA3E75" w:rsidRPr="00576544" w:rsidRDefault="00DA3E75" w:rsidP="00DA3E75">
      <w:pPr>
        <w:tabs>
          <w:tab w:val="left" w:pos="8222"/>
        </w:tabs>
        <w:ind w:left="851"/>
        <w:rPr>
          <w:sz w:val="24"/>
          <w:szCs w:val="24"/>
          <w:u w:val="single"/>
        </w:rPr>
      </w:pPr>
    </w:p>
    <w:p w14:paraId="1BF1DB47" w14:textId="77777777" w:rsidR="00DA3E75" w:rsidRPr="00576544" w:rsidRDefault="00DA3E75" w:rsidP="00DA3E75">
      <w:pPr>
        <w:tabs>
          <w:tab w:val="left" w:pos="8222"/>
        </w:tabs>
        <w:ind w:left="851"/>
        <w:rPr>
          <w:spacing w:val="-3"/>
          <w:sz w:val="24"/>
          <w:szCs w:val="24"/>
        </w:rPr>
      </w:pPr>
      <w:r w:rsidRPr="00576544">
        <w:rPr>
          <w:sz w:val="24"/>
          <w:szCs w:val="24"/>
          <w:u w:val="single"/>
        </w:rPr>
        <w:t>Høns</w:t>
      </w:r>
      <w:r w:rsidRPr="00576544">
        <w:rPr>
          <w:sz w:val="24"/>
          <w:szCs w:val="24"/>
        </w:rPr>
        <w:t>:</w:t>
      </w:r>
    </w:p>
    <w:p w14:paraId="2875F854" w14:textId="77777777" w:rsidR="00DA3E75" w:rsidRPr="00576544" w:rsidRDefault="00DA3E75" w:rsidP="00DA3E75">
      <w:pPr>
        <w:tabs>
          <w:tab w:val="left" w:pos="8222"/>
        </w:tabs>
        <w:ind w:left="851"/>
        <w:rPr>
          <w:sz w:val="24"/>
          <w:szCs w:val="24"/>
        </w:rPr>
      </w:pPr>
      <w:r w:rsidRPr="00576544">
        <w:rPr>
          <w:spacing w:val="3"/>
          <w:sz w:val="24"/>
          <w:szCs w:val="24"/>
        </w:rPr>
        <w:t>LD</w:t>
      </w:r>
      <w:r w:rsidRPr="00576544">
        <w:rPr>
          <w:spacing w:val="3"/>
          <w:position w:val="-2"/>
          <w:sz w:val="24"/>
          <w:szCs w:val="24"/>
        </w:rPr>
        <w:t>50</w:t>
      </w:r>
      <w:r w:rsidRPr="00576544">
        <w:rPr>
          <w:bCs/>
          <w:sz w:val="24"/>
          <w:szCs w:val="24"/>
        </w:rPr>
        <w:t xml:space="preserve"> er 1090 mg/kg legemsvægt for høns. Med hensyn til fjerkræ har </w:t>
      </w:r>
      <w:proofErr w:type="spellStart"/>
      <w:r w:rsidRPr="00576544">
        <w:rPr>
          <w:bCs/>
          <w:sz w:val="24"/>
          <w:szCs w:val="24"/>
        </w:rPr>
        <w:t>tiamulinhydrogenfumarat</w:t>
      </w:r>
      <w:proofErr w:type="spellEnd"/>
      <w:r w:rsidRPr="00576544">
        <w:rPr>
          <w:bCs/>
          <w:sz w:val="24"/>
          <w:szCs w:val="24"/>
        </w:rPr>
        <w:t xml:space="preserve"> et relativt højt terapeutisk indeks, og sandsynligheden for en overdosis anses for lav, især fordi vandindtaget og dermed indtaget af </w:t>
      </w:r>
      <w:proofErr w:type="spellStart"/>
      <w:r w:rsidRPr="00576544">
        <w:rPr>
          <w:bCs/>
          <w:sz w:val="24"/>
          <w:szCs w:val="24"/>
        </w:rPr>
        <w:t>tiamulinhydrogenfumarat</w:t>
      </w:r>
      <w:proofErr w:type="spellEnd"/>
      <w:r w:rsidRPr="00576544">
        <w:rPr>
          <w:bCs/>
          <w:sz w:val="24"/>
          <w:szCs w:val="24"/>
        </w:rPr>
        <w:t xml:space="preserve"> er reduceret, hvis der indgives abnormt høje koncentrationer. </w:t>
      </w:r>
      <w:r w:rsidRPr="00576544">
        <w:rPr>
          <w:sz w:val="24"/>
          <w:szCs w:val="24"/>
        </w:rPr>
        <w:t>De kliniske symptomer på forgiftning hos høns er vokalisering, klonisk krampe og sideleje.</w:t>
      </w:r>
    </w:p>
    <w:p w14:paraId="50C47792" w14:textId="77777777" w:rsidR="00DA3E75" w:rsidRPr="00576544" w:rsidRDefault="00DA3E75" w:rsidP="00DA3E75">
      <w:pPr>
        <w:tabs>
          <w:tab w:val="left" w:pos="8222"/>
        </w:tabs>
        <w:ind w:left="851"/>
        <w:rPr>
          <w:sz w:val="24"/>
          <w:szCs w:val="24"/>
        </w:rPr>
      </w:pPr>
    </w:p>
    <w:p w14:paraId="1C2BF9B4" w14:textId="77777777" w:rsidR="00DA3E75" w:rsidRPr="00576544" w:rsidRDefault="00DA3E75" w:rsidP="00DA3E75">
      <w:pPr>
        <w:tabs>
          <w:tab w:val="left" w:pos="8222"/>
        </w:tabs>
        <w:ind w:left="851"/>
        <w:rPr>
          <w:bCs/>
          <w:sz w:val="24"/>
          <w:szCs w:val="24"/>
        </w:rPr>
      </w:pPr>
      <w:r w:rsidRPr="00576544">
        <w:rPr>
          <w:sz w:val="24"/>
          <w:szCs w:val="24"/>
        </w:rPr>
        <w:t>Hvis der forekommer tegn på forgiftning, fjern da straks det medicinerede vand, erstat det med frisk drikkevand og sørg for understøttende, symptomatisk behandling.</w:t>
      </w:r>
    </w:p>
    <w:p w14:paraId="76762596" w14:textId="77777777" w:rsidR="00913DF5" w:rsidRPr="00576544" w:rsidRDefault="00913DF5" w:rsidP="00913DF5">
      <w:pPr>
        <w:tabs>
          <w:tab w:val="left" w:pos="851"/>
        </w:tabs>
        <w:ind w:left="851"/>
        <w:rPr>
          <w:sz w:val="24"/>
          <w:szCs w:val="24"/>
        </w:rPr>
      </w:pPr>
    </w:p>
    <w:p w14:paraId="2D8CE4BA" w14:textId="77777777" w:rsidR="00913DF5" w:rsidRPr="00576544" w:rsidRDefault="00913DF5" w:rsidP="00913DF5">
      <w:pPr>
        <w:tabs>
          <w:tab w:val="left" w:pos="851"/>
        </w:tabs>
        <w:ind w:left="851" w:hanging="851"/>
        <w:rPr>
          <w:sz w:val="24"/>
          <w:szCs w:val="24"/>
        </w:rPr>
      </w:pPr>
      <w:r w:rsidRPr="00576544">
        <w:rPr>
          <w:b/>
          <w:sz w:val="24"/>
          <w:szCs w:val="24"/>
        </w:rPr>
        <w:t>3.11</w:t>
      </w:r>
      <w:r w:rsidRPr="00576544">
        <w:rPr>
          <w:sz w:val="24"/>
          <w:szCs w:val="24"/>
        </w:rPr>
        <w:tab/>
      </w:r>
      <w:r w:rsidRPr="00576544">
        <w:rPr>
          <w:b/>
          <w:sz w:val="24"/>
          <w:szCs w:val="24"/>
        </w:rPr>
        <w:t>Særlige begrænsninger og betingelser for anvendelse, herunder begrænsninger for anvendelsen af antimikrobielle og antiparasitære veterinærlægemidler for at begrænse risikoen for udvikling af resistens</w:t>
      </w:r>
    </w:p>
    <w:p w14:paraId="280B3AF1" w14:textId="77777777" w:rsidR="00DA3E75" w:rsidRPr="00576544" w:rsidRDefault="00DA3E75" w:rsidP="00DA3E75">
      <w:pPr>
        <w:ind w:left="851"/>
        <w:rPr>
          <w:sz w:val="24"/>
          <w:szCs w:val="24"/>
        </w:rPr>
      </w:pPr>
      <w:r w:rsidRPr="00576544">
        <w:rPr>
          <w:sz w:val="24"/>
          <w:szCs w:val="24"/>
        </w:rPr>
        <w:t>Ikke relevant.</w:t>
      </w:r>
    </w:p>
    <w:p w14:paraId="67BB4D8A" w14:textId="77777777" w:rsidR="00913DF5" w:rsidRPr="00576544" w:rsidRDefault="00913DF5" w:rsidP="00913DF5">
      <w:pPr>
        <w:tabs>
          <w:tab w:val="left" w:pos="851"/>
        </w:tabs>
        <w:ind w:left="851"/>
        <w:rPr>
          <w:sz w:val="24"/>
          <w:szCs w:val="24"/>
        </w:rPr>
      </w:pPr>
    </w:p>
    <w:p w14:paraId="179A9701" w14:textId="77777777" w:rsidR="00913DF5" w:rsidRPr="00576544" w:rsidRDefault="00913DF5" w:rsidP="00913DF5">
      <w:pPr>
        <w:tabs>
          <w:tab w:val="left" w:pos="851"/>
        </w:tabs>
        <w:ind w:left="851" w:hanging="851"/>
        <w:rPr>
          <w:b/>
          <w:sz w:val="24"/>
          <w:szCs w:val="24"/>
        </w:rPr>
      </w:pPr>
      <w:r w:rsidRPr="00576544">
        <w:rPr>
          <w:b/>
          <w:sz w:val="24"/>
          <w:szCs w:val="24"/>
        </w:rPr>
        <w:t>3.12</w:t>
      </w:r>
      <w:r w:rsidRPr="00576544">
        <w:rPr>
          <w:b/>
          <w:sz w:val="24"/>
          <w:szCs w:val="24"/>
        </w:rPr>
        <w:tab/>
        <w:t>Tilbageholdelsestid(er)</w:t>
      </w:r>
    </w:p>
    <w:p w14:paraId="41F4903B" w14:textId="77777777" w:rsidR="00576544" w:rsidRDefault="00576544" w:rsidP="00DA3E75">
      <w:pPr>
        <w:tabs>
          <w:tab w:val="left" w:pos="8222"/>
        </w:tabs>
        <w:ind w:left="851"/>
        <w:rPr>
          <w:sz w:val="24"/>
          <w:szCs w:val="24"/>
          <w:u w:val="single"/>
        </w:rPr>
      </w:pPr>
    </w:p>
    <w:p w14:paraId="021A3D12" w14:textId="26F5E23A" w:rsidR="00DA3E75" w:rsidRPr="00576544" w:rsidRDefault="00DA3E75" w:rsidP="00DA3E75">
      <w:pPr>
        <w:tabs>
          <w:tab w:val="left" w:pos="8222"/>
        </w:tabs>
        <w:ind w:left="851"/>
        <w:rPr>
          <w:sz w:val="24"/>
          <w:szCs w:val="24"/>
          <w:u w:val="single"/>
        </w:rPr>
      </w:pPr>
      <w:r w:rsidRPr="00576544">
        <w:rPr>
          <w:sz w:val="24"/>
          <w:szCs w:val="24"/>
          <w:u w:val="single"/>
        </w:rPr>
        <w:t>Svin:</w:t>
      </w:r>
    </w:p>
    <w:p w14:paraId="43A581C1" w14:textId="77777777" w:rsidR="00DA3E75" w:rsidRPr="00576544" w:rsidRDefault="00DA3E75" w:rsidP="00DA3E75">
      <w:pPr>
        <w:tabs>
          <w:tab w:val="left" w:pos="8222"/>
        </w:tabs>
        <w:ind w:left="851"/>
        <w:rPr>
          <w:sz w:val="24"/>
          <w:szCs w:val="24"/>
        </w:rPr>
      </w:pPr>
      <w:r w:rsidRPr="00576544">
        <w:rPr>
          <w:sz w:val="24"/>
          <w:szCs w:val="24"/>
        </w:rPr>
        <w:t xml:space="preserve">Slagtning: 2 døgn (8,8 mg </w:t>
      </w:r>
      <w:proofErr w:type="spellStart"/>
      <w:r w:rsidRPr="00576544">
        <w:rPr>
          <w:sz w:val="24"/>
          <w:szCs w:val="24"/>
        </w:rPr>
        <w:t>tiamulinhydrogenfumarat</w:t>
      </w:r>
      <w:proofErr w:type="spellEnd"/>
      <w:r w:rsidRPr="00576544">
        <w:rPr>
          <w:sz w:val="24"/>
          <w:szCs w:val="24"/>
        </w:rPr>
        <w:t>/kg legemsvægt svarende til 7 ml af veterinærlægemidlet/100 kg legemsvægt)</w:t>
      </w:r>
    </w:p>
    <w:p w14:paraId="3F6F9505" w14:textId="77777777" w:rsidR="00DA3E75" w:rsidRPr="00576544" w:rsidRDefault="00DA3E75" w:rsidP="00DA3E75">
      <w:pPr>
        <w:tabs>
          <w:tab w:val="left" w:pos="8222"/>
        </w:tabs>
        <w:ind w:left="851"/>
        <w:rPr>
          <w:sz w:val="24"/>
          <w:szCs w:val="24"/>
        </w:rPr>
      </w:pPr>
      <w:r w:rsidRPr="00576544">
        <w:rPr>
          <w:sz w:val="24"/>
          <w:szCs w:val="24"/>
        </w:rPr>
        <w:t xml:space="preserve">Slagtning: 4 døgn (20 mg </w:t>
      </w:r>
      <w:proofErr w:type="spellStart"/>
      <w:r w:rsidRPr="00576544">
        <w:rPr>
          <w:sz w:val="24"/>
          <w:szCs w:val="24"/>
        </w:rPr>
        <w:t>tiamulinhydrogenfumarat</w:t>
      </w:r>
      <w:proofErr w:type="spellEnd"/>
      <w:r w:rsidRPr="00576544">
        <w:rPr>
          <w:sz w:val="24"/>
          <w:szCs w:val="24"/>
        </w:rPr>
        <w:t>/kg legemsvægt svarende til 16 ml af veterinærlægemidlet/100 kg legemsvægt)</w:t>
      </w:r>
    </w:p>
    <w:p w14:paraId="36B4AB5F" w14:textId="77777777" w:rsidR="00DA3E75" w:rsidRPr="00576544" w:rsidRDefault="00DA3E75" w:rsidP="00DA3E75">
      <w:pPr>
        <w:tabs>
          <w:tab w:val="left" w:pos="851"/>
          <w:tab w:val="left" w:pos="8222"/>
        </w:tabs>
        <w:ind w:left="851"/>
        <w:rPr>
          <w:sz w:val="24"/>
          <w:szCs w:val="24"/>
        </w:rPr>
      </w:pPr>
    </w:p>
    <w:p w14:paraId="4C1F2B16" w14:textId="77777777" w:rsidR="00DA3E75" w:rsidRPr="00576544" w:rsidRDefault="00DA3E75" w:rsidP="00DA3E75">
      <w:pPr>
        <w:tabs>
          <w:tab w:val="left" w:pos="851"/>
          <w:tab w:val="left" w:pos="8222"/>
        </w:tabs>
        <w:ind w:left="851"/>
        <w:rPr>
          <w:sz w:val="24"/>
          <w:szCs w:val="24"/>
          <w:u w:val="single"/>
        </w:rPr>
      </w:pPr>
      <w:r w:rsidRPr="00576544">
        <w:rPr>
          <w:sz w:val="24"/>
          <w:szCs w:val="24"/>
          <w:u w:val="single"/>
        </w:rPr>
        <w:t>Høns (æglæggende høns):</w:t>
      </w:r>
    </w:p>
    <w:p w14:paraId="62C4C115" w14:textId="77777777" w:rsidR="00DA3E75" w:rsidRPr="00576544" w:rsidRDefault="00DA3E75" w:rsidP="00DA3E75">
      <w:pPr>
        <w:tabs>
          <w:tab w:val="left" w:pos="851"/>
          <w:tab w:val="left" w:pos="8222"/>
        </w:tabs>
        <w:ind w:left="851"/>
        <w:rPr>
          <w:sz w:val="24"/>
          <w:szCs w:val="24"/>
        </w:rPr>
      </w:pPr>
      <w:r w:rsidRPr="00576544">
        <w:rPr>
          <w:sz w:val="24"/>
          <w:szCs w:val="24"/>
        </w:rPr>
        <w:t>Slagtning: 2 døgn</w:t>
      </w:r>
    </w:p>
    <w:p w14:paraId="31303785" w14:textId="77777777" w:rsidR="00DA3E75" w:rsidRPr="00576544" w:rsidRDefault="00DA3E75" w:rsidP="00DA3E75">
      <w:pPr>
        <w:tabs>
          <w:tab w:val="left" w:pos="851"/>
          <w:tab w:val="left" w:pos="8222"/>
        </w:tabs>
        <w:ind w:left="851"/>
        <w:rPr>
          <w:sz w:val="24"/>
          <w:szCs w:val="24"/>
        </w:rPr>
      </w:pPr>
      <w:r w:rsidRPr="00576544">
        <w:rPr>
          <w:sz w:val="24"/>
          <w:szCs w:val="24"/>
        </w:rPr>
        <w:t>Æg: 0 døgn</w:t>
      </w:r>
    </w:p>
    <w:p w14:paraId="2B00413C" w14:textId="77777777" w:rsidR="00913DF5" w:rsidRPr="00576544" w:rsidRDefault="00913DF5" w:rsidP="00913DF5">
      <w:pPr>
        <w:pStyle w:val="Sidehoved"/>
        <w:tabs>
          <w:tab w:val="clear" w:pos="4819"/>
        </w:tabs>
        <w:ind w:left="851"/>
        <w:rPr>
          <w:szCs w:val="24"/>
        </w:rPr>
      </w:pPr>
    </w:p>
    <w:p w14:paraId="43D36414" w14:textId="77777777" w:rsidR="00913DF5" w:rsidRPr="00576544" w:rsidRDefault="00913DF5" w:rsidP="00913DF5">
      <w:pPr>
        <w:tabs>
          <w:tab w:val="left" w:pos="851"/>
        </w:tabs>
        <w:ind w:left="851"/>
        <w:rPr>
          <w:sz w:val="24"/>
          <w:szCs w:val="24"/>
        </w:rPr>
      </w:pPr>
    </w:p>
    <w:p w14:paraId="1FB31F78" w14:textId="1072D1A0" w:rsidR="00913DF5" w:rsidRPr="00576544" w:rsidRDefault="00913DF5" w:rsidP="00913DF5">
      <w:pPr>
        <w:ind w:left="851" w:hanging="851"/>
        <w:rPr>
          <w:b/>
          <w:sz w:val="24"/>
          <w:szCs w:val="24"/>
        </w:rPr>
      </w:pPr>
      <w:r w:rsidRPr="00576544">
        <w:rPr>
          <w:b/>
          <w:sz w:val="24"/>
          <w:szCs w:val="24"/>
        </w:rPr>
        <w:t>4.</w:t>
      </w:r>
      <w:r w:rsidRPr="00576544">
        <w:rPr>
          <w:b/>
          <w:sz w:val="24"/>
          <w:szCs w:val="24"/>
        </w:rPr>
        <w:tab/>
        <w:t>FARMAKOLOGISKE OPLYSNINGER</w:t>
      </w:r>
    </w:p>
    <w:p w14:paraId="35CB0E05" w14:textId="77777777" w:rsidR="00913DF5" w:rsidRPr="00576544" w:rsidRDefault="00913DF5" w:rsidP="00913DF5">
      <w:pPr>
        <w:ind w:left="851"/>
        <w:rPr>
          <w:sz w:val="24"/>
          <w:szCs w:val="24"/>
        </w:rPr>
      </w:pPr>
    </w:p>
    <w:p w14:paraId="49E59DF9" w14:textId="77777777" w:rsidR="00913DF5" w:rsidRPr="00576544" w:rsidRDefault="00913DF5" w:rsidP="00913DF5">
      <w:pPr>
        <w:ind w:left="851" w:hanging="851"/>
        <w:rPr>
          <w:b/>
          <w:sz w:val="24"/>
          <w:szCs w:val="24"/>
        </w:rPr>
      </w:pPr>
      <w:r w:rsidRPr="00576544">
        <w:rPr>
          <w:b/>
          <w:sz w:val="24"/>
          <w:szCs w:val="24"/>
        </w:rPr>
        <w:t>4.1</w:t>
      </w:r>
      <w:r w:rsidRPr="00576544">
        <w:rPr>
          <w:b/>
          <w:sz w:val="24"/>
          <w:szCs w:val="24"/>
        </w:rPr>
        <w:tab/>
      </w:r>
      <w:proofErr w:type="spellStart"/>
      <w:r w:rsidRPr="00576544">
        <w:rPr>
          <w:b/>
          <w:sz w:val="24"/>
          <w:szCs w:val="24"/>
        </w:rPr>
        <w:t>ATCvet</w:t>
      </w:r>
      <w:proofErr w:type="spellEnd"/>
      <w:r w:rsidRPr="00576544">
        <w:rPr>
          <w:b/>
          <w:sz w:val="24"/>
          <w:szCs w:val="24"/>
        </w:rPr>
        <w:t>-kode</w:t>
      </w:r>
    </w:p>
    <w:p w14:paraId="08EA303A" w14:textId="1F9ED2E5" w:rsidR="00913DF5" w:rsidRPr="00576544" w:rsidRDefault="00DA3E75" w:rsidP="00913DF5">
      <w:pPr>
        <w:ind w:left="851"/>
        <w:rPr>
          <w:sz w:val="24"/>
          <w:szCs w:val="24"/>
        </w:rPr>
      </w:pPr>
      <w:r w:rsidRPr="00576544">
        <w:rPr>
          <w:sz w:val="24"/>
          <w:szCs w:val="24"/>
        </w:rPr>
        <w:t>QJ01XQ01</w:t>
      </w:r>
    </w:p>
    <w:p w14:paraId="1B48E196" w14:textId="77777777" w:rsidR="00913DF5" w:rsidRPr="00576544" w:rsidRDefault="00913DF5" w:rsidP="00913DF5">
      <w:pPr>
        <w:ind w:left="851"/>
        <w:rPr>
          <w:sz w:val="24"/>
          <w:szCs w:val="24"/>
        </w:rPr>
      </w:pPr>
    </w:p>
    <w:p w14:paraId="5602FA07" w14:textId="77777777" w:rsidR="00913DF5" w:rsidRPr="00576544" w:rsidRDefault="00913DF5" w:rsidP="00913DF5">
      <w:pPr>
        <w:tabs>
          <w:tab w:val="left" w:pos="851"/>
        </w:tabs>
        <w:ind w:left="851" w:hanging="851"/>
        <w:rPr>
          <w:b/>
          <w:sz w:val="24"/>
          <w:szCs w:val="24"/>
        </w:rPr>
      </w:pPr>
      <w:r w:rsidRPr="00576544">
        <w:rPr>
          <w:b/>
          <w:sz w:val="24"/>
          <w:szCs w:val="24"/>
        </w:rPr>
        <w:t>4.2</w:t>
      </w:r>
      <w:r w:rsidRPr="00576544">
        <w:rPr>
          <w:b/>
          <w:sz w:val="24"/>
          <w:szCs w:val="24"/>
        </w:rPr>
        <w:tab/>
      </w:r>
      <w:proofErr w:type="spellStart"/>
      <w:r w:rsidRPr="00576544">
        <w:rPr>
          <w:b/>
          <w:sz w:val="24"/>
          <w:szCs w:val="24"/>
        </w:rPr>
        <w:t>Farmakodynamiske</w:t>
      </w:r>
      <w:proofErr w:type="spellEnd"/>
      <w:r w:rsidRPr="00576544">
        <w:rPr>
          <w:b/>
          <w:sz w:val="24"/>
          <w:szCs w:val="24"/>
        </w:rPr>
        <w:t xml:space="preserve"> oplysninger</w:t>
      </w:r>
    </w:p>
    <w:p w14:paraId="60711FA6" w14:textId="77777777" w:rsidR="00DA3E75" w:rsidRPr="00576544" w:rsidRDefault="00DA3E75" w:rsidP="00576544">
      <w:pPr>
        <w:ind w:left="851"/>
        <w:rPr>
          <w:sz w:val="24"/>
          <w:szCs w:val="24"/>
        </w:rPr>
      </w:pPr>
      <w:proofErr w:type="spellStart"/>
      <w:r w:rsidRPr="00576544">
        <w:rPr>
          <w:sz w:val="24"/>
          <w:szCs w:val="24"/>
        </w:rPr>
        <w:t>Tiamulin</w:t>
      </w:r>
      <w:proofErr w:type="spellEnd"/>
      <w:r w:rsidRPr="00576544">
        <w:rPr>
          <w:sz w:val="24"/>
          <w:szCs w:val="24"/>
        </w:rPr>
        <w:t xml:space="preserve"> er et semisyntetisk </w:t>
      </w:r>
      <w:proofErr w:type="spellStart"/>
      <w:r w:rsidRPr="00576544">
        <w:rPr>
          <w:sz w:val="24"/>
          <w:szCs w:val="24"/>
        </w:rPr>
        <w:t>bakteriostatisk</w:t>
      </w:r>
      <w:proofErr w:type="spellEnd"/>
      <w:r w:rsidRPr="00576544">
        <w:rPr>
          <w:sz w:val="24"/>
          <w:szCs w:val="24"/>
        </w:rPr>
        <w:t xml:space="preserve"> antibiotikum, der tilhører antibiotikagruppen af </w:t>
      </w:r>
      <w:proofErr w:type="spellStart"/>
      <w:r w:rsidRPr="00576544">
        <w:rPr>
          <w:sz w:val="24"/>
          <w:szCs w:val="24"/>
        </w:rPr>
        <w:t>pleuromutiliner</w:t>
      </w:r>
      <w:proofErr w:type="spellEnd"/>
      <w:r w:rsidRPr="00576544">
        <w:rPr>
          <w:sz w:val="24"/>
          <w:szCs w:val="24"/>
        </w:rPr>
        <w:t xml:space="preserve"> og virker ved at hæmme bakteriers proteinsyntese på ribosomniveau. </w:t>
      </w:r>
    </w:p>
    <w:p w14:paraId="6ED802B0" w14:textId="77777777" w:rsidR="00DA3E75" w:rsidRPr="00576544" w:rsidRDefault="00DA3E75" w:rsidP="00576544">
      <w:pPr>
        <w:ind w:left="851"/>
        <w:rPr>
          <w:sz w:val="24"/>
          <w:szCs w:val="24"/>
        </w:rPr>
      </w:pPr>
    </w:p>
    <w:p w14:paraId="6FEBFC8A" w14:textId="77777777" w:rsidR="00DA3E75" w:rsidRPr="00576544" w:rsidRDefault="00DA3E75" w:rsidP="00576544">
      <w:pPr>
        <w:ind w:left="851"/>
        <w:rPr>
          <w:sz w:val="24"/>
          <w:szCs w:val="24"/>
        </w:rPr>
      </w:pPr>
      <w:proofErr w:type="spellStart"/>
      <w:r w:rsidRPr="00576544">
        <w:rPr>
          <w:sz w:val="24"/>
          <w:szCs w:val="24"/>
        </w:rPr>
        <w:t>Tiamulin</w:t>
      </w:r>
      <w:proofErr w:type="spellEnd"/>
      <w:r w:rsidRPr="00576544">
        <w:rPr>
          <w:sz w:val="24"/>
          <w:szCs w:val="24"/>
        </w:rPr>
        <w:t xml:space="preserve"> har vist et højt niveau af </w:t>
      </w:r>
      <w:r w:rsidRPr="00576544">
        <w:rPr>
          <w:i/>
          <w:sz w:val="24"/>
          <w:szCs w:val="24"/>
        </w:rPr>
        <w:t xml:space="preserve">in </w:t>
      </w:r>
      <w:proofErr w:type="spellStart"/>
      <w:r w:rsidRPr="00576544">
        <w:rPr>
          <w:i/>
          <w:sz w:val="24"/>
          <w:szCs w:val="24"/>
        </w:rPr>
        <w:t>vitro</w:t>
      </w:r>
      <w:proofErr w:type="spellEnd"/>
      <w:r w:rsidRPr="00576544">
        <w:rPr>
          <w:sz w:val="24"/>
          <w:szCs w:val="24"/>
        </w:rPr>
        <w:t xml:space="preserve"> aktivitet mod </w:t>
      </w:r>
      <w:proofErr w:type="spellStart"/>
      <w:r w:rsidRPr="00576544">
        <w:rPr>
          <w:sz w:val="24"/>
          <w:szCs w:val="24"/>
        </w:rPr>
        <w:t>porcine</w:t>
      </w:r>
      <w:proofErr w:type="spellEnd"/>
      <w:r w:rsidRPr="00576544">
        <w:rPr>
          <w:sz w:val="24"/>
          <w:szCs w:val="24"/>
        </w:rPr>
        <w:t xml:space="preserve"> og </w:t>
      </w:r>
      <w:proofErr w:type="spellStart"/>
      <w:r w:rsidRPr="00576544">
        <w:rPr>
          <w:sz w:val="24"/>
          <w:szCs w:val="24"/>
        </w:rPr>
        <w:t>aviære</w:t>
      </w:r>
      <w:proofErr w:type="spellEnd"/>
      <w:r w:rsidRPr="00576544">
        <w:rPr>
          <w:sz w:val="24"/>
          <w:szCs w:val="24"/>
        </w:rPr>
        <w:t xml:space="preserve"> </w:t>
      </w:r>
      <w:proofErr w:type="spellStart"/>
      <w:r w:rsidRPr="00576544">
        <w:rPr>
          <w:i/>
          <w:sz w:val="24"/>
          <w:szCs w:val="24"/>
        </w:rPr>
        <w:t>Mycoplasma</w:t>
      </w:r>
      <w:proofErr w:type="spellEnd"/>
      <w:r w:rsidRPr="00576544">
        <w:rPr>
          <w:i/>
          <w:sz w:val="24"/>
          <w:szCs w:val="24"/>
        </w:rPr>
        <w:t>-</w:t>
      </w:r>
      <w:r w:rsidRPr="00576544">
        <w:rPr>
          <w:sz w:val="24"/>
          <w:szCs w:val="24"/>
        </w:rPr>
        <w:t>arter, så vel som grampositive aerobe bakterier (streptokokker og stafylokokker), anaerobe bakterier (</w:t>
      </w:r>
      <w:proofErr w:type="spellStart"/>
      <w:r w:rsidRPr="00576544">
        <w:rPr>
          <w:sz w:val="24"/>
          <w:szCs w:val="24"/>
        </w:rPr>
        <w:t>clostridia</w:t>
      </w:r>
      <w:proofErr w:type="spellEnd"/>
      <w:r w:rsidRPr="00576544">
        <w:rPr>
          <w:sz w:val="24"/>
          <w:szCs w:val="24"/>
        </w:rPr>
        <w:t>), gramnegative anaerobe bakterier (</w:t>
      </w:r>
      <w:proofErr w:type="spellStart"/>
      <w:r w:rsidRPr="00576544">
        <w:rPr>
          <w:i/>
          <w:sz w:val="24"/>
          <w:szCs w:val="24"/>
        </w:rPr>
        <w:t>Brachyspira</w:t>
      </w:r>
      <w:proofErr w:type="spellEnd"/>
      <w:r w:rsidRPr="00576544">
        <w:rPr>
          <w:i/>
          <w:sz w:val="24"/>
          <w:szCs w:val="24"/>
        </w:rPr>
        <w:t xml:space="preserve"> </w:t>
      </w:r>
      <w:proofErr w:type="spellStart"/>
      <w:r w:rsidRPr="00576544">
        <w:rPr>
          <w:i/>
          <w:sz w:val="24"/>
          <w:szCs w:val="24"/>
        </w:rPr>
        <w:t>hyodysenteriae</w:t>
      </w:r>
      <w:proofErr w:type="spellEnd"/>
      <w:r w:rsidRPr="00576544">
        <w:rPr>
          <w:i/>
          <w:sz w:val="24"/>
          <w:szCs w:val="24"/>
        </w:rPr>
        <w:t xml:space="preserve">, </w:t>
      </w:r>
      <w:proofErr w:type="spellStart"/>
      <w:r w:rsidRPr="00576544">
        <w:rPr>
          <w:i/>
          <w:sz w:val="24"/>
          <w:szCs w:val="24"/>
        </w:rPr>
        <w:t>Brachyspira</w:t>
      </w:r>
      <w:proofErr w:type="spellEnd"/>
      <w:r w:rsidRPr="00576544">
        <w:rPr>
          <w:i/>
          <w:sz w:val="24"/>
          <w:szCs w:val="24"/>
        </w:rPr>
        <w:t xml:space="preserve"> </w:t>
      </w:r>
      <w:proofErr w:type="spellStart"/>
      <w:r w:rsidRPr="00576544">
        <w:rPr>
          <w:i/>
          <w:sz w:val="24"/>
          <w:szCs w:val="24"/>
        </w:rPr>
        <w:t>pilosicoli</w:t>
      </w:r>
      <w:proofErr w:type="spellEnd"/>
      <w:r w:rsidRPr="00576544">
        <w:rPr>
          <w:i/>
          <w:sz w:val="24"/>
          <w:szCs w:val="24"/>
        </w:rPr>
        <w:t xml:space="preserve">) </w:t>
      </w:r>
      <w:r w:rsidRPr="00576544">
        <w:rPr>
          <w:sz w:val="24"/>
          <w:szCs w:val="24"/>
        </w:rPr>
        <w:t>og gramnegative aerobe bakterier</w:t>
      </w:r>
      <w:r w:rsidRPr="00576544">
        <w:rPr>
          <w:i/>
          <w:sz w:val="24"/>
          <w:szCs w:val="24"/>
        </w:rPr>
        <w:t xml:space="preserve"> (</w:t>
      </w:r>
      <w:proofErr w:type="spellStart"/>
      <w:r w:rsidRPr="00576544">
        <w:rPr>
          <w:i/>
          <w:sz w:val="24"/>
          <w:szCs w:val="24"/>
        </w:rPr>
        <w:t>Pasteurella</w:t>
      </w:r>
      <w:proofErr w:type="spellEnd"/>
      <w:r w:rsidRPr="00576544">
        <w:rPr>
          <w:i/>
          <w:sz w:val="24"/>
          <w:szCs w:val="24"/>
        </w:rPr>
        <w:t xml:space="preserve"> </w:t>
      </w:r>
      <w:proofErr w:type="spellStart"/>
      <w:r w:rsidRPr="00576544">
        <w:rPr>
          <w:i/>
          <w:sz w:val="24"/>
          <w:szCs w:val="24"/>
        </w:rPr>
        <w:t>multocida</w:t>
      </w:r>
      <w:proofErr w:type="spellEnd"/>
      <w:r w:rsidRPr="00576544">
        <w:rPr>
          <w:i/>
          <w:sz w:val="24"/>
          <w:szCs w:val="24"/>
        </w:rPr>
        <w:t>).</w:t>
      </w:r>
    </w:p>
    <w:p w14:paraId="4B443BD5" w14:textId="77777777" w:rsidR="00DA3E75" w:rsidRPr="00576544" w:rsidRDefault="00DA3E75" w:rsidP="00576544">
      <w:pPr>
        <w:widowControl w:val="0"/>
        <w:numPr>
          <w:ilvl w:val="12"/>
          <w:numId w:val="0"/>
        </w:numPr>
        <w:tabs>
          <w:tab w:val="right" w:pos="0"/>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ind w:left="851"/>
        <w:rPr>
          <w:sz w:val="24"/>
          <w:szCs w:val="24"/>
        </w:rPr>
      </w:pPr>
    </w:p>
    <w:p w14:paraId="13B84468" w14:textId="77777777" w:rsidR="00DA3E75" w:rsidRPr="00576544" w:rsidRDefault="00DA3E75" w:rsidP="00576544">
      <w:pPr>
        <w:widowControl w:val="0"/>
        <w:numPr>
          <w:ilvl w:val="12"/>
          <w:numId w:val="0"/>
        </w:numPr>
        <w:tabs>
          <w:tab w:val="right" w:pos="0"/>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ind w:left="851"/>
        <w:rPr>
          <w:sz w:val="24"/>
          <w:szCs w:val="24"/>
        </w:rPr>
      </w:pPr>
      <w:r w:rsidRPr="00576544">
        <w:rPr>
          <w:sz w:val="24"/>
          <w:szCs w:val="24"/>
        </w:rPr>
        <w:t xml:space="preserve">Det er blevet påvist, at </w:t>
      </w:r>
      <w:proofErr w:type="spellStart"/>
      <w:r w:rsidRPr="00576544">
        <w:rPr>
          <w:sz w:val="24"/>
          <w:szCs w:val="24"/>
        </w:rPr>
        <w:t>Tiamulin</w:t>
      </w:r>
      <w:proofErr w:type="spellEnd"/>
      <w:r w:rsidRPr="00576544">
        <w:rPr>
          <w:sz w:val="24"/>
          <w:szCs w:val="24"/>
        </w:rPr>
        <w:t xml:space="preserve"> virker på 70S ribosomniveauet, og at de primære bindingssteder er på 50S underenheden.</w:t>
      </w:r>
      <w:r w:rsidRPr="00576544">
        <w:rPr>
          <w:sz w:val="24"/>
          <w:szCs w:val="24"/>
        </w:rPr>
        <w:tab/>
        <w:t xml:space="preserve"> Det synes at hæmme den mikrobielle proteinproduktion ved at danne </w:t>
      </w:r>
      <w:r w:rsidRPr="00576544">
        <w:rPr>
          <w:sz w:val="24"/>
          <w:szCs w:val="24"/>
        </w:rPr>
        <w:tab/>
        <w:t xml:space="preserve">biokemisk inaktive </w:t>
      </w:r>
      <w:r w:rsidRPr="00576544">
        <w:rPr>
          <w:sz w:val="24"/>
          <w:szCs w:val="24"/>
        </w:rPr>
        <w:tab/>
        <w:t xml:space="preserve">initieringskomplekser, som forhindrer en forlænget </w:t>
      </w:r>
      <w:proofErr w:type="spellStart"/>
      <w:r w:rsidRPr="00576544">
        <w:rPr>
          <w:sz w:val="24"/>
          <w:szCs w:val="24"/>
        </w:rPr>
        <w:t>polypetidkæde</w:t>
      </w:r>
      <w:proofErr w:type="spellEnd"/>
      <w:r w:rsidRPr="00576544">
        <w:rPr>
          <w:sz w:val="24"/>
          <w:szCs w:val="24"/>
        </w:rPr>
        <w:t>.</w:t>
      </w:r>
    </w:p>
    <w:p w14:paraId="1F24FE15" w14:textId="77777777" w:rsidR="00DA3E75" w:rsidRPr="00576544" w:rsidRDefault="00DA3E75" w:rsidP="00576544">
      <w:pPr>
        <w:widowControl w:val="0"/>
        <w:numPr>
          <w:ilvl w:val="12"/>
          <w:numId w:val="0"/>
        </w:numPr>
        <w:tabs>
          <w:tab w:val="right" w:pos="0"/>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ind w:left="851"/>
        <w:rPr>
          <w:sz w:val="24"/>
          <w:szCs w:val="24"/>
        </w:rPr>
      </w:pPr>
    </w:p>
    <w:p w14:paraId="69343D39" w14:textId="77777777" w:rsidR="00DA3E75" w:rsidRPr="00576544" w:rsidRDefault="00DA3E75" w:rsidP="00576544">
      <w:pPr>
        <w:widowControl w:val="0"/>
        <w:numPr>
          <w:ilvl w:val="12"/>
          <w:numId w:val="0"/>
        </w:numPr>
        <w:tabs>
          <w:tab w:val="right" w:pos="0"/>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s>
        <w:ind w:left="851"/>
        <w:rPr>
          <w:sz w:val="24"/>
          <w:szCs w:val="24"/>
        </w:rPr>
      </w:pPr>
      <w:r w:rsidRPr="00576544">
        <w:rPr>
          <w:rFonts w:eastAsiaTheme="minorHAnsi"/>
          <w:color w:val="000000" w:themeColor="text1"/>
          <w:sz w:val="24"/>
          <w:szCs w:val="24"/>
        </w:rPr>
        <w:t xml:space="preserve">I europæiske </w:t>
      </w:r>
      <w:proofErr w:type="spellStart"/>
      <w:r w:rsidRPr="00576544">
        <w:rPr>
          <w:rFonts w:eastAsiaTheme="minorHAnsi"/>
          <w:color w:val="000000" w:themeColor="text1"/>
          <w:sz w:val="24"/>
          <w:szCs w:val="24"/>
        </w:rPr>
        <w:t>isolater</w:t>
      </w:r>
      <w:proofErr w:type="spellEnd"/>
      <w:r w:rsidRPr="00576544">
        <w:rPr>
          <w:rFonts w:eastAsiaTheme="minorHAnsi"/>
          <w:color w:val="000000" w:themeColor="text1"/>
          <w:sz w:val="24"/>
          <w:szCs w:val="24"/>
        </w:rPr>
        <w:t xml:space="preserve"> af </w:t>
      </w:r>
      <w:proofErr w:type="spellStart"/>
      <w:r w:rsidRPr="00576544">
        <w:rPr>
          <w:rFonts w:eastAsiaTheme="minorHAnsi"/>
          <w:i/>
          <w:color w:val="000000" w:themeColor="text1"/>
          <w:sz w:val="24"/>
          <w:szCs w:val="24"/>
        </w:rPr>
        <w:t>Brachyspira</w:t>
      </w:r>
      <w:proofErr w:type="spellEnd"/>
      <w:r w:rsidRPr="00576544">
        <w:rPr>
          <w:rFonts w:eastAsiaTheme="minorHAnsi"/>
          <w:i/>
          <w:color w:val="000000" w:themeColor="text1"/>
          <w:sz w:val="24"/>
          <w:szCs w:val="24"/>
        </w:rPr>
        <w:t xml:space="preserve"> </w:t>
      </w:r>
      <w:proofErr w:type="spellStart"/>
      <w:r w:rsidRPr="00576544">
        <w:rPr>
          <w:rFonts w:eastAsiaTheme="minorHAnsi"/>
          <w:i/>
          <w:color w:val="000000" w:themeColor="text1"/>
          <w:sz w:val="24"/>
          <w:szCs w:val="24"/>
        </w:rPr>
        <w:t>hyodysenteriae</w:t>
      </w:r>
      <w:proofErr w:type="spellEnd"/>
      <w:r w:rsidRPr="00576544">
        <w:rPr>
          <w:rFonts w:eastAsiaTheme="minorHAnsi"/>
          <w:color w:val="000000" w:themeColor="text1"/>
          <w:sz w:val="24"/>
          <w:szCs w:val="24"/>
        </w:rPr>
        <w:t xml:space="preserve"> samlet mellem 1990 og 2012 varierede den mindste inhibitoriske koncentration (MIC) mellem ≤0,016 µg/ml og &gt;16 µg/ml, med MIC</w:t>
      </w:r>
      <w:r w:rsidRPr="00576544">
        <w:rPr>
          <w:rFonts w:eastAsiaTheme="minorHAnsi"/>
          <w:color w:val="000000" w:themeColor="text1"/>
          <w:sz w:val="24"/>
          <w:szCs w:val="24"/>
          <w:vertAlign w:val="subscript"/>
        </w:rPr>
        <w:t>50</w:t>
      </w:r>
      <w:r w:rsidRPr="00576544">
        <w:rPr>
          <w:rFonts w:eastAsiaTheme="minorHAnsi"/>
          <w:color w:val="000000" w:themeColor="text1"/>
          <w:sz w:val="24"/>
          <w:szCs w:val="24"/>
        </w:rPr>
        <w:t xml:space="preserve"> på </w:t>
      </w:r>
      <w:r w:rsidRPr="00576544">
        <w:rPr>
          <w:rFonts w:eastAsiaTheme="minorHAnsi"/>
          <w:color w:val="000000" w:themeColor="text1"/>
          <w:sz w:val="24"/>
          <w:szCs w:val="24"/>
        </w:rPr>
        <w:tab/>
        <w:t>≤0,063 µg/ml til 4 µg/ml og MIC</w:t>
      </w:r>
      <w:r w:rsidRPr="00576544">
        <w:rPr>
          <w:rFonts w:eastAsiaTheme="minorHAnsi"/>
          <w:color w:val="000000" w:themeColor="text1"/>
          <w:sz w:val="24"/>
          <w:szCs w:val="24"/>
          <w:vertAlign w:val="subscript"/>
        </w:rPr>
        <w:t>90</w:t>
      </w:r>
      <w:r w:rsidRPr="00576544">
        <w:rPr>
          <w:rFonts w:eastAsiaTheme="minorHAnsi"/>
          <w:color w:val="000000" w:themeColor="text1"/>
          <w:sz w:val="24"/>
          <w:szCs w:val="24"/>
        </w:rPr>
        <w:t xml:space="preserve"> på ≤0,016 µg/ml til &gt;16 µg/ml.</w:t>
      </w:r>
    </w:p>
    <w:p w14:paraId="141DAC7F" w14:textId="77777777" w:rsidR="00DA3E75" w:rsidRPr="00576544" w:rsidRDefault="00DA3E75" w:rsidP="00576544">
      <w:pPr>
        <w:widowControl w:val="0"/>
        <w:numPr>
          <w:ilvl w:val="12"/>
          <w:numId w:val="0"/>
        </w:numPr>
        <w:ind w:left="851"/>
        <w:rPr>
          <w:sz w:val="24"/>
          <w:szCs w:val="24"/>
        </w:rPr>
      </w:pPr>
    </w:p>
    <w:p w14:paraId="516F301E" w14:textId="77777777" w:rsidR="00DA3E75" w:rsidRPr="00576544" w:rsidRDefault="00DA3E75" w:rsidP="00576544">
      <w:pPr>
        <w:widowControl w:val="0"/>
        <w:numPr>
          <w:ilvl w:val="12"/>
          <w:numId w:val="0"/>
        </w:numPr>
        <w:ind w:left="851"/>
        <w:rPr>
          <w:rFonts w:eastAsiaTheme="minorHAnsi"/>
          <w:color w:val="000000" w:themeColor="text1"/>
          <w:sz w:val="24"/>
          <w:szCs w:val="24"/>
        </w:rPr>
      </w:pPr>
      <w:r w:rsidRPr="00576544">
        <w:rPr>
          <w:rFonts w:eastAsiaTheme="minorHAnsi"/>
          <w:color w:val="000000" w:themeColor="text1"/>
          <w:sz w:val="24"/>
          <w:szCs w:val="24"/>
        </w:rPr>
        <w:t xml:space="preserve">I europæiske </w:t>
      </w:r>
      <w:proofErr w:type="spellStart"/>
      <w:r w:rsidRPr="00576544">
        <w:rPr>
          <w:rFonts w:eastAsiaTheme="minorHAnsi"/>
          <w:color w:val="000000" w:themeColor="text1"/>
          <w:sz w:val="24"/>
          <w:szCs w:val="24"/>
        </w:rPr>
        <w:t>isolater</w:t>
      </w:r>
      <w:proofErr w:type="spellEnd"/>
      <w:r w:rsidRPr="00576544">
        <w:rPr>
          <w:rFonts w:eastAsiaTheme="minorHAnsi"/>
          <w:color w:val="000000" w:themeColor="text1"/>
          <w:sz w:val="24"/>
          <w:szCs w:val="24"/>
        </w:rPr>
        <w:t xml:space="preserve"> af </w:t>
      </w:r>
      <w:proofErr w:type="spellStart"/>
      <w:r w:rsidRPr="00576544">
        <w:rPr>
          <w:rFonts w:eastAsiaTheme="minorHAnsi"/>
          <w:i/>
          <w:color w:val="000000" w:themeColor="text1"/>
          <w:sz w:val="24"/>
          <w:szCs w:val="24"/>
        </w:rPr>
        <w:t>Brachyspira</w:t>
      </w:r>
      <w:proofErr w:type="spellEnd"/>
      <w:r w:rsidRPr="00576544">
        <w:rPr>
          <w:rFonts w:eastAsiaTheme="minorHAnsi"/>
          <w:i/>
          <w:color w:val="000000" w:themeColor="text1"/>
          <w:sz w:val="24"/>
          <w:szCs w:val="24"/>
        </w:rPr>
        <w:t xml:space="preserve"> </w:t>
      </w:r>
      <w:proofErr w:type="spellStart"/>
      <w:r w:rsidRPr="00576544">
        <w:rPr>
          <w:rFonts w:eastAsiaTheme="minorHAnsi"/>
          <w:i/>
          <w:color w:val="000000" w:themeColor="text1"/>
          <w:sz w:val="24"/>
          <w:szCs w:val="24"/>
        </w:rPr>
        <w:t>pilosicoli</w:t>
      </w:r>
      <w:proofErr w:type="spellEnd"/>
      <w:r w:rsidRPr="00576544">
        <w:rPr>
          <w:rFonts w:eastAsiaTheme="minorHAnsi"/>
          <w:color w:val="000000" w:themeColor="text1"/>
          <w:sz w:val="24"/>
          <w:szCs w:val="24"/>
        </w:rPr>
        <w:t xml:space="preserve"> varierede MIC mellem (citat fra 2006-2008-2012) ≤0,008-64 µg/ml, med MIC</w:t>
      </w:r>
      <w:r w:rsidRPr="00576544">
        <w:rPr>
          <w:rFonts w:eastAsiaTheme="minorHAnsi"/>
          <w:color w:val="000000" w:themeColor="text1"/>
          <w:sz w:val="24"/>
          <w:szCs w:val="24"/>
          <w:vertAlign w:val="subscript"/>
        </w:rPr>
        <w:t>50</w:t>
      </w:r>
      <w:r w:rsidRPr="00576544">
        <w:rPr>
          <w:rFonts w:eastAsiaTheme="minorHAnsi"/>
          <w:color w:val="000000" w:themeColor="text1"/>
          <w:sz w:val="24"/>
          <w:szCs w:val="24"/>
        </w:rPr>
        <w:t>s på ≤0,062 µg/ml op til 0,125 µg/ml og MIC</w:t>
      </w:r>
      <w:r w:rsidRPr="00576544">
        <w:rPr>
          <w:rFonts w:eastAsiaTheme="minorHAnsi"/>
          <w:color w:val="000000" w:themeColor="text1"/>
          <w:sz w:val="24"/>
          <w:szCs w:val="24"/>
          <w:vertAlign w:val="subscript"/>
        </w:rPr>
        <w:t>90</w:t>
      </w:r>
      <w:r w:rsidRPr="00576544">
        <w:rPr>
          <w:rFonts w:eastAsiaTheme="minorHAnsi"/>
          <w:color w:val="000000" w:themeColor="text1"/>
          <w:sz w:val="24"/>
          <w:szCs w:val="24"/>
        </w:rPr>
        <w:t>s på 0,25 µg/ml op til 8 µg/ml.</w:t>
      </w:r>
    </w:p>
    <w:p w14:paraId="3195E0A4" w14:textId="77777777" w:rsidR="00DA3E75" w:rsidRPr="00576544" w:rsidRDefault="00DA3E75" w:rsidP="00576544">
      <w:pPr>
        <w:widowControl w:val="0"/>
        <w:numPr>
          <w:ilvl w:val="12"/>
          <w:numId w:val="0"/>
        </w:numPr>
        <w:ind w:left="851"/>
        <w:rPr>
          <w:sz w:val="24"/>
          <w:szCs w:val="24"/>
        </w:rPr>
      </w:pPr>
    </w:p>
    <w:p w14:paraId="5DD7C313" w14:textId="77777777" w:rsidR="00DA3E75" w:rsidRPr="00576544" w:rsidRDefault="00DA3E75" w:rsidP="00576544">
      <w:pPr>
        <w:widowControl w:val="0"/>
        <w:numPr>
          <w:ilvl w:val="12"/>
          <w:numId w:val="0"/>
        </w:numPr>
        <w:ind w:left="851"/>
        <w:rPr>
          <w:sz w:val="24"/>
          <w:szCs w:val="24"/>
        </w:rPr>
      </w:pPr>
      <w:r w:rsidRPr="00576544">
        <w:rPr>
          <w:sz w:val="24"/>
          <w:szCs w:val="24"/>
        </w:rPr>
        <w:t xml:space="preserve">Følsomhedstest af </w:t>
      </w:r>
      <w:proofErr w:type="spellStart"/>
      <w:r w:rsidRPr="00576544">
        <w:rPr>
          <w:rFonts w:eastAsiaTheme="minorHAnsi"/>
          <w:i/>
          <w:color w:val="000000" w:themeColor="text1"/>
          <w:sz w:val="24"/>
          <w:szCs w:val="24"/>
        </w:rPr>
        <w:t>Lawsonia</w:t>
      </w:r>
      <w:proofErr w:type="spellEnd"/>
      <w:r w:rsidRPr="00576544">
        <w:rPr>
          <w:rFonts w:eastAsiaTheme="minorHAnsi"/>
          <w:i/>
          <w:color w:val="000000" w:themeColor="text1"/>
          <w:sz w:val="24"/>
          <w:szCs w:val="24"/>
        </w:rPr>
        <w:t xml:space="preserve"> </w:t>
      </w:r>
      <w:proofErr w:type="spellStart"/>
      <w:r w:rsidRPr="00576544">
        <w:rPr>
          <w:rFonts w:eastAsiaTheme="minorHAnsi"/>
          <w:i/>
          <w:color w:val="000000" w:themeColor="text1"/>
          <w:sz w:val="24"/>
          <w:szCs w:val="24"/>
        </w:rPr>
        <w:t>intracellularis</w:t>
      </w:r>
      <w:proofErr w:type="spellEnd"/>
      <w:r w:rsidRPr="00576544">
        <w:rPr>
          <w:rFonts w:eastAsiaTheme="minorHAnsi"/>
          <w:color w:val="000000" w:themeColor="text1"/>
          <w:sz w:val="24"/>
          <w:szCs w:val="24"/>
        </w:rPr>
        <w:t xml:space="preserve"> er vanskelig, da det er en obligat intracellulær organisme. De </w:t>
      </w:r>
      <w:proofErr w:type="spellStart"/>
      <w:r w:rsidRPr="00576544">
        <w:rPr>
          <w:rFonts w:eastAsiaTheme="minorHAnsi"/>
          <w:color w:val="000000" w:themeColor="text1"/>
          <w:sz w:val="24"/>
          <w:szCs w:val="24"/>
        </w:rPr>
        <w:t>tiamulin</w:t>
      </w:r>
      <w:proofErr w:type="spellEnd"/>
      <w:r w:rsidRPr="00576544">
        <w:rPr>
          <w:rFonts w:eastAsiaTheme="minorHAnsi"/>
          <w:color w:val="000000" w:themeColor="text1"/>
          <w:sz w:val="24"/>
          <w:szCs w:val="24"/>
        </w:rPr>
        <w:t xml:space="preserve"> MIC-data, der blev bestemt i de tilgængelige EU </w:t>
      </w:r>
      <w:proofErr w:type="spellStart"/>
      <w:r w:rsidRPr="00576544">
        <w:rPr>
          <w:rFonts w:eastAsiaTheme="minorHAnsi"/>
          <w:i/>
          <w:color w:val="000000" w:themeColor="text1"/>
          <w:sz w:val="24"/>
          <w:szCs w:val="24"/>
        </w:rPr>
        <w:t>Lawsonia</w:t>
      </w:r>
      <w:proofErr w:type="spellEnd"/>
      <w:r w:rsidRPr="00576544">
        <w:rPr>
          <w:rFonts w:eastAsiaTheme="minorHAnsi"/>
          <w:color w:val="000000" w:themeColor="text1"/>
          <w:sz w:val="24"/>
          <w:szCs w:val="24"/>
        </w:rPr>
        <w:t xml:space="preserve"> stammer, var alle (citat fra 2017) under det skønnede </w:t>
      </w:r>
      <w:proofErr w:type="spellStart"/>
      <w:r w:rsidRPr="00576544">
        <w:rPr>
          <w:rFonts w:eastAsiaTheme="minorHAnsi"/>
          <w:color w:val="000000" w:themeColor="text1"/>
          <w:sz w:val="24"/>
          <w:szCs w:val="24"/>
        </w:rPr>
        <w:t>ileale</w:t>
      </w:r>
      <w:proofErr w:type="spellEnd"/>
      <w:r w:rsidRPr="00576544">
        <w:rPr>
          <w:rFonts w:eastAsiaTheme="minorHAnsi"/>
          <w:color w:val="000000" w:themeColor="text1"/>
          <w:sz w:val="24"/>
          <w:szCs w:val="24"/>
        </w:rPr>
        <w:t xml:space="preserve"> </w:t>
      </w:r>
      <w:proofErr w:type="spellStart"/>
      <w:r w:rsidRPr="00576544">
        <w:rPr>
          <w:rFonts w:eastAsiaTheme="minorHAnsi"/>
          <w:color w:val="000000" w:themeColor="text1"/>
          <w:sz w:val="24"/>
          <w:szCs w:val="24"/>
        </w:rPr>
        <w:t>tiamulin</w:t>
      </w:r>
      <w:proofErr w:type="spellEnd"/>
      <w:r w:rsidRPr="00576544">
        <w:rPr>
          <w:rFonts w:eastAsiaTheme="minorHAnsi"/>
          <w:color w:val="000000" w:themeColor="text1"/>
          <w:sz w:val="24"/>
          <w:szCs w:val="24"/>
        </w:rPr>
        <w:t xml:space="preserve">-indhold på 0.63 </w:t>
      </w:r>
      <w:proofErr w:type="spellStart"/>
      <w:r w:rsidRPr="00576544">
        <w:rPr>
          <w:rFonts w:eastAsiaTheme="minorHAnsi"/>
          <w:color w:val="000000" w:themeColor="text1"/>
          <w:sz w:val="24"/>
          <w:szCs w:val="24"/>
        </w:rPr>
        <w:t>μg</w:t>
      </w:r>
      <w:proofErr w:type="spellEnd"/>
      <w:r w:rsidRPr="00576544">
        <w:rPr>
          <w:rFonts w:eastAsiaTheme="minorHAnsi"/>
          <w:color w:val="000000" w:themeColor="text1"/>
          <w:sz w:val="24"/>
          <w:szCs w:val="24"/>
        </w:rPr>
        <w:t>/ml.</w:t>
      </w:r>
    </w:p>
    <w:p w14:paraId="3963A564" w14:textId="77777777" w:rsidR="00DA3E75" w:rsidRPr="00576544" w:rsidRDefault="00DA3E75" w:rsidP="00576544">
      <w:pPr>
        <w:widowControl w:val="0"/>
        <w:numPr>
          <w:ilvl w:val="12"/>
          <w:numId w:val="0"/>
        </w:numPr>
        <w:ind w:left="851"/>
        <w:rPr>
          <w:rFonts w:eastAsiaTheme="minorHAnsi"/>
          <w:color w:val="000000" w:themeColor="text1"/>
          <w:sz w:val="24"/>
          <w:szCs w:val="24"/>
        </w:rPr>
      </w:pPr>
    </w:p>
    <w:p w14:paraId="3ECCBFF9" w14:textId="5E4DF402" w:rsidR="00DA3E75" w:rsidRPr="00576544" w:rsidRDefault="00DA3E75" w:rsidP="00576544">
      <w:pPr>
        <w:widowControl w:val="0"/>
        <w:numPr>
          <w:ilvl w:val="12"/>
          <w:numId w:val="0"/>
        </w:numPr>
        <w:ind w:left="851"/>
        <w:rPr>
          <w:sz w:val="24"/>
          <w:szCs w:val="24"/>
        </w:rPr>
      </w:pPr>
      <w:r w:rsidRPr="00576544">
        <w:rPr>
          <w:rFonts w:eastAsiaTheme="minorHAnsi"/>
          <w:color w:val="000000" w:themeColor="text1"/>
          <w:sz w:val="24"/>
          <w:szCs w:val="24"/>
        </w:rPr>
        <w:t xml:space="preserve">I europæiske </w:t>
      </w:r>
      <w:proofErr w:type="spellStart"/>
      <w:r w:rsidRPr="00576544">
        <w:rPr>
          <w:rFonts w:eastAsiaTheme="minorHAnsi"/>
          <w:color w:val="000000" w:themeColor="text1"/>
          <w:sz w:val="24"/>
          <w:szCs w:val="24"/>
        </w:rPr>
        <w:t>isolater</w:t>
      </w:r>
      <w:proofErr w:type="spellEnd"/>
      <w:r w:rsidRPr="00576544">
        <w:rPr>
          <w:rFonts w:eastAsiaTheme="minorHAnsi"/>
          <w:color w:val="000000" w:themeColor="text1"/>
          <w:sz w:val="24"/>
          <w:szCs w:val="24"/>
        </w:rPr>
        <w:t xml:space="preserve"> var </w:t>
      </w:r>
      <w:proofErr w:type="spellStart"/>
      <w:r w:rsidRPr="00576544">
        <w:rPr>
          <w:rFonts w:eastAsiaTheme="minorHAnsi"/>
          <w:color w:val="000000" w:themeColor="text1"/>
          <w:sz w:val="24"/>
          <w:szCs w:val="24"/>
        </w:rPr>
        <w:t>tiamulin</w:t>
      </w:r>
      <w:proofErr w:type="spellEnd"/>
      <w:r w:rsidRPr="00576544">
        <w:rPr>
          <w:rFonts w:eastAsiaTheme="minorHAnsi"/>
          <w:color w:val="000000" w:themeColor="text1"/>
          <w:sz w:val="24"/>
          <w:szCs w:val="24"/>
        </w:rPr>
        <w:t xml:space="preserve"> meget aktiv mod </w:t>
      </w:r>
      <w:proofErr w:type="spellStart"/>
      <w:r w:rsidRPr="00576544">
        <w:rPr>
          <w:rFonts w:eastAsiaTheme="minorHAnsi"/>
          <w:i/>
          <w:color w:val="000000" w:themeColor="text1"/>
          <w:sz w:val="24"/>
          <w:szCs w:val="24"/>
        </w:rPr>
        <w:t>Mycoplasma</w:t>
      </w:r>
      <w:proofErr w:type="spellEnd"/>
      <w:r w:rsidRPr="00576544">
        <w:rPr>
          <w:rFonts w:eastAsiaTheme="minorHAnsi"/>
          <w:i/>
          <w:color w:val="000000" w:themeColor="text1"/>
          <w:sz w:val="24"/>
          <w:szCs w:val="24"/>
        </w:rPr>
        <w:t xml:space="preserve"> </w:t>
      </w:r>
      <w:proofErr w:type="spellStart"/>
      <w:r w:rsidRPr="00576544">
        <w:rPr>
          <w:rFonts w:eastAsiaTheme="minorHAnsi"/>
          <w:i/>
          <w:color w:val="000000" w:themeColor="text1"/>
          <w:sz w:val="24"/>
          <w:szCs w:val="24"/>
        </w:rPr>
        <w:t>hyopneumoniae</w:t>
      </w:r>
      <w:proofErr w:type="spellEnd"/>
      <w:r w:rsidRPr="00576544">
        <w:rPr>
          <w:rFonts w:eastAsiaTheme="minorHAnsi"/>
          <w:color w:val="000000" w:themeColor="text1"/>
          <w:sz w:val="24"/>
          <w:szCs w:val="24"/>
        </w:rPr>
        <w:t>, med MIC</w:t>
      </w:r>
      <w:r w:rsidRPr="00576544">
        <w:rPr>
          <w:rFonts w:eastAsiaTheme="minorHAnsi"/>
          <w:color w:val="000000" w:themeColor="text1"/>
          <w:sz w:val="24"/>
          <w:szCs w:val="24"/>
          <w:vertAlign w:val="subscript"/>
        </w:rPr>
        <w:t>50</w:t>
      </w:r>
      <w:r w:rsidRPr="00576544">
        <w:rPr>
          <w:rFonts w:eastAsiaTheme="minorHAnsi"/>
          <w:color w:val="000000" w:themeColor="text1"/>
          <w:sz w:val="24"/>
          <w:szCs w:val="24"/>
        </w:rPr>
        <w:t xml:space="preserve"> på 0,016 µg/ml, MIC</w:t>
      </w:r>
      <w:r w:rsidRPr="00576544">
        <w:rPr>
          <w:rFonts w:eastAsiaTheme="minorHAnsi"/>
          <w:color w:val="000000" w:themeColor="text1"/>
          <w:sz w:val="24"/>
          <w:szCs w:val="24"/>
          <w:vertAlign w:val="subscript"/>
        </w:rPr>
        <w:t>90</w:t>
      </w:r>
      <w:r w:rsidRPr="00576544">
        <w:rPr>
          <w:rFonts w:eastAsiaTheme="minorHAnsi"/>
          <w:color w:val="000000" w:themeColor="text1"/>
          <w:sz w:val="24"/>
          <w:szCs w:val="24"/>
        </w:rPr>
        <w:t xml:space="preserve"> på 0,062 µg/ml, og MIC-spændvidde på 0,002-0,125 µg/ml (citat fra 2014).</w:t>
      </w:r>
    </w:p>
    <w:p w14:paraId="4FED9AB5" w14:textId="77777777" w:rsidR="00DA3E75" w:rsidRPr="00576544" w:rsidRDefault="00DA3E75" w:rsidP="00576544">
      <w:pPr>
        <w:widowControl w:val="0"/>
        <w:numPr>
          <w:ilvl w:val="12"/>
          <w:numId w:val="0"/>
        </w:numPr>
        <w:ind w:left="851"/>
        <w:rPr>
          <w:rFonts w:eastAsiaTheme="minorHAnsi"/>
          <w:color w:val="000000" w:themeColor="text1"/>
          <w:sz w:val="24"/>
          <w:szCs w:val="24"/>
        </w:rPr>
      </w:pPr>
    </w:p>
    <w:p w14:paraId="6954F721" w14:textId="3B75C1B1" w:rsidR="00DA3E75" w:rsidRPr="00576544" w:rsidRDefault="00DA3E75" w:rsidP="00576544">
      <w:pPr>
        <w:widowControl w:val="0"/>
        <w:numPr>
          <w:ilvl w:val="12"/>
          <w:numId w:val="0"/>
        </w:numPr>
        <w:ind w:left="851"/>
        <w:rPr>
          <w:sz w:val="24"/>
          <w:szCs w:val="24"/>
        </w:rPr>
      </w:pPr>
      <w:r w:rsidRPr="00576544">
        <w:rPr>
          <w:rFonts w:eastAsiaTheme="minorHAnsi"/>
          <w:color w:val="000000" w:themeColor="text1"/>
          <w:sz w:val="24"/>
          <w:szCs w:val="24"/>
        </w:rPr>
        <w:t xml:space="preserve">In nyere europæiske stammer (2005-2013) og ældre globale </w:t>
      </w:r>
      <w:proofErr w:type="spellStart"/>
      <w:r w:rsidRPr="00576544">
        <w:rPr>
          <w:rFonts w:eastAsiaTheme="minorHAnsi"/>
          <w:color w:val="000000" w:themeColor="text1"/>
          <w:sz w:val="24"/>
          <w:szCs w:val="24"/>
        </w:rPr>
        <w:t>isolater</w:t>
      </w:r>
      <w:proofErr w:type="spellEnd"/>
      <w:r w:rsidRPr="00576544">
        <w:rPr>
          <w:rFonts w:eastAsiaTheme="minorHAnsi"/>
          <w:color w:val="000000" w:themeColor="text1"/>
          <w:sz w:val="24"/>
          <w:szCs w:val="24"/>
        </w:rPr>
        <w:t xml:space="preserve"> (før1997) var MIC-spændvidden lignende for </w:t>
      </w:r>
      <w:proofErr w:type="spellStart"/>
      <w:r w:rsidRPr="00576544">
        <w:rPr>
          <w:rFonts w:eastAsiaTheme="minorHAnsi"/>
          <w:i/>
          <w:color w:val="000000" w:themeColor="text1"/>
          <w:sz w:val="24"/>
          <w:szCs w:val="24"/>
        </w:rPr>
        <w:t>Mycoplasma</w:t>
      </w:r>
      <w:proofErr w:type="spellEnd"/>
      <w:r w:rsidRPr="00576544">
        <w:rPr>
          <w:rFonts w:eastAsiaTheme="minorHAnsi"/>
          <w:i/>
          <w:color w:val="000000" w:themeColor="text1"/>
          <w:sz w:val="24"/>
          <w:szCs w:val="24"/>
        </w:rPr>
        <w:t xml:space="preserve"> </w:t>
      </w:r>
      <w:proofErr w:type="spellStart"/>
      <w:r w:rsidRPr="00576544">
        <w:rPr>
          <w:rFonts w:eastAsiaTheme="minorHAnsi"/>
          <w:i/>
          <w:color w:val="000000" w:themeColor="text1"/>
          <w:sz w:val="24"/>
          <w:szCs w:val="24"/>
        </w:rPr>
        <w:t>gallisepticum</w:t>
      </w:r>
      <w:proofErr w:type="spellEnd"/>
      <w:r w:rsidRPr="00576544">
        <w:rPr>
          <w:rFonts w:eastAsiaTheme="minorHAnsi"/>
          <w:color w:val="000000" w:themeColor="text1"/>
          <w:sz w:val="24"/>
          <w:szCs w:val="24"/>
        </w:rPr>
        <w:t xml:space="preserve"> varierende mellem 0,001 – 0,037</w:t>
      </w:r>
      <w:r w:rsidR="0016312B">
        <w:rPr>
          <w:rFonts w:eastAsiaTheme="minorHAnsi"/>
          <w:color w:val="000000" w:themeColor="text1"/>
          <w:sz w:val="24"/>
          <w:szCs w:val="24"/>
        </w:rPr>
        <w:t> </w:t>
      </w:r>
      <w:r w:rsidRPr="00576544">
        <w:rPr>
          <w:rFonts w:eastAsiaTheme="minorHAnsi"/>
          <w:color w:val="000000" w:themeColor="text1"/>
          <w:sz w:val="24"/>
          <w:szCs w:val="24"/>
        </w:rPr>
        <w:t>µg/ml med MIC</w:t>
      </w:r>
      <w:r w:rsidRPr="00576544">
        <w:rPr>
          <w:rFonts w:eastAsiaTheme="minorHAnsi"/>
          <w:color w:val="000000" w:themeColor="text1"/>
          <w:sz w:val="24"/>
          <w:szCs w:val="24"/>
          <w:vertAlign w:val="subscript"/>
        </w:rPr>
        <w:t>50</w:t>
      </w:r>
      <w:r w:rsidRPr="00576544">
        <w:rPr>
          <w:rFonts w:eastAsiaTheme="minorHAnsi"/>
          <w:color w:val="000000" w:themeColor="text1"/>
          <w:sz w:val="24"/>
          <w:szCs w:val="24"/>
        </w:rPr>
        <w:t>s på 0,001 og 0,008 µg/ml og MIC</w:t>
      </w:r>
      <w:r w:rsidRPr="00576544">
        <w:rPr>
          <w:rFonts w:eastAsiaTheme="minorHAnsi"/>
          <w:color w:val="000000" w:themeColor="text1"/>
          <w:sz w:val="24"/>
          <w:szCs w:val="24"/>
          <w:vertAlign w:val="subscript"/>
        </w:rPr>
        <w:t>90</w:t>
      </w:r>
      <w:r w:rsidRPr="00576544">
        <w:rPr>
          <w:rFonts w:eastAsiaTheme="minorHAnsi"/>
          <w:color w:val="000000" w:themeColor="text1"/>
          <w:sz w:val="24"/>
          <w:szCs w:val="24"/>
        </w:rPr>
        <w:t xml:space="preserve">s på 0,025 og 0,031 µg/ml. Der fandtes ingen resistente stammer. For </w:t>
      </w:r>
      <w:proofErr w:type="spellStart"/>
      <w:r w:rsidRPr="00576544">
        <w:rPr>
          <w:rFonts w:eastAsiaTheme="minorHAnsi"/>
          <w:i/>
          <w:color w:val="000000" w:themeColor="text1"/>
          <w:sz w:val="24"/>
          <w:szCs w:val="24"/>
        </w:rPr>
        <w:t>Mycoplasma</w:t>
      </w:r>
      <w:proofErr w:type="spellEnd"/>
      <w:r w:rsidRPr="00576544">
        <w:rPr>
          <w:rFonts w:eastAsiaTheme="minorHAnsi"/>
          <w:i/>
          <w:color w:val="000000" w:themeColor="text1"/>
          <w:sz w:val="24"/>
          <w:szCs w:val="24"/>
        </w:rPr>
        <w:t xml:space="preserve"> </w:t>
      </w:r>
      <w:proofErr w:type="spellStart"/>
      <w:r w:rsidRPr="00576544">
        <w:rPr>
          <w:rFonts w:eastAsiaTheme="minorHAnsi"/>
          <w:i/>
          <w:color w:val="000000" w:themeColor="text1"/>
          <w:sz w:val="24"/>
          <w:szCs w:val="24"/>
        </w:rPr>
        <w:t>synoviae</w:t>
      </w:r>
      <w:proofErr w:type="spellEnd"/>
      <w:r w:rsidRPr="00576544">
        <w:rPr>
          <w:rFonts w:eastAsiaTheme="minorHAnsi"/>
          <w:color w:val="000000" w:themeColor="text1"/>
          <w:sz w:val="24"/>
          <w:szCs w:val="24"/>
        </w:rPr>
        <w:t xml:space="preserve"> varierede MIC mellem 0,05 og 0,5 µg/ml med MIC</w:t>
      </w:r>
      <w:r w:rsidRPr="00576544">
        <w:rPr>
          <w:rFonts w:eastAsiaTheme="minorHAnsi"/>
          <w:color w:val="000000" w:themeColor="text1"/>
          <w:sz w:val="24"/>
          <w:szCs w:val="24"/>
          <w:vertAlign w:val="subscript"/>
        </w:rPr>
        <w:t>50</w:t>
      </w:r>
      <w:r w:rsidRPr="00576544">
        <w:rPr>
          <w:rFonts w:eastAsiaTheme="minorHAnsi"/>
          <w:color w:val="000000" w:themeColor="text1"/>
          <w:sz w:val="24"/>
          <w:szCs w:val="24"/>
        </w:rPr>
        <w:t>s på 0,1 µg/ml og MIC</w:t>
      </w:r>
      <w:r w:rsidRPr="00576544">
        <w:rPr>
          <w:rFonts w:eastAsiaTheme="minorHAnsi"/>
          <w:color w:val="000000" w:themeColor="text1"/>
          <w:sz w:val="24"/>
          <w:szCs w:val="24"/>
          <w:vertAlign w:val="subscript"/>
        </w:rPr>
        <w:t>90</w:t>
      </w:r>
      <w:r w:rsidRPr="00576544">
        <w:rPr>
          <w:rFonts w:eastAsiaTheme="minorHAnsi"/>
          <w:color w:val="000000" w:themeColor="text1"/>
          <w:sz w:val="24"/>
          <w:szCs w:val="24"/>
        </w:rPr>
        <w:t xml:space="preserve"> på 0,25 µg/ml.</w:t>
      </w:r>
    </w:p>
    <w:p w14:paraId="41E9459E" w14:textId="77777777" w:rsidR="00913DF5" w:rsidRPr="00576544" w:rsidRDefault="00913DF5" w:rsidP="00913DF5">
      <w:pPr>
        <w:tabs>
          <w:tab w:val="left" w:pos="851"/>
        </w:tabs>
        <w:ind w:left="851"/>
        <w:rPr>
          <w:sz w:val="24"/>
          <w:szCs w:val="24"/>
        </w:rPr>
      </w:pPr>
    </w:p>
    <w:p w14:paraId="2D208B34" w14:textId="77777777" w:rsidR="00913DF5" w:rsidRPr="00576544" w:rsidRDefault="00913DF5" w:rsidP="00913DF5">
      <w:pPr>
        <w:tabs>
          <w:tab w:val="left" w:pos="851"/>
        </w:tabs>
        <w:ind w:left="851" w:hanging="851"/>
        <w:rPr>
          <w:b/>
          <w:sz w:val="24"/>
          <w:szCs w:val="24"/>
        </w:rPr>
      </w:pPr>
      <w:r w:rsidRPr="003F459E">
        <w:rPr>
          <w:b/>
          <w:sz w:val="24"/>
          <w:szCs w:val="24"/>
        </w:rPr>
        <w:t>4.3</w:t>
      </w:r>
      <w:r w:rsidRPr="003F459E">
        <w:rPr>
          <w:b/>
          <w:sz w:val="24"/>
          <w:szCs w:val="24"/>
        </w:rPr>
        <w:tab/>
      </w:r>
      <w:proofErr w:type="spellStart"/>
      <w:r w:rsidRPr="003F459E">
        <w:rPr>
          <w:b/>
          <w:sz w:val="24"/>
          <w:szCs w:val="24"/>
        </w:rPr>
        <w:t>Farmakokinetiske</w:t>
      </w:r>
      <w:proofErr w:type="spellEnd"/>
      <w:r w:rsidRPr="003F459E">
        <w:rPr>
          <w:b/>
          <w:sz w:val="24"/>
          <w:szCs w:val="24"/>
        </w:rPr>
        <w:t xml:space="preserve"> oplysninger</w:t>
      </w:r>
    </w:p>
    <w:p w14:paraId="0962485F" w14:textId="77777777" w:rsidR="00576544" w:rsidRDefault="00576544" w:rsidP="00576544">
      <w:pPr>
        <w:ind w:left="851"/>
        <w:rPr>
          <w:sz w:val="24"/>
          <w:szCs w:val="24"/>
          <w:u w:val="single"/>
        </w:rPr>
      </w:pPr>
    </w:p>
    <w:p w14:paraId="0CD9F8FB" w14:textId="47119A89" w:rsidR="00DA3E75" w:rsidRPr="00576544" w:rsidRDefault="00DA3E75" w:rsidP="00576544">
      <w:pPr>
        <w:ind w:left="851"/>
        <w:rPr>
          <w:b/>
          <w:sz w:val="24"/>
          <w:szCs w:val="24"/>
        </w:rPr>
      </w:pPr>
      <w:r w:rsidRPr="00576544">
        <w:rPr>
          <w:sz w:val="24"/>
          <w:szCs w:val="24"/>
          <w:u w:val="single"/>
        </w:rPr>
        <w:t>Svin</w:t>
      </w:r>
    </w:p>
    <w:p w14:paraId="213168E3" w14:textId="77777777" w:rsidR="00DA3E75" w:rsidRPr="00576544" w:rsidRDefault="00DA3E75" w:rsidP="00576544">
      <w:pPr>
        <w:tabs>
          <w:tab w:val="left" w:pos="1304"/>
        </w:tabs>
        <w:ind w:left="851"/>
        <w:rPr>
          <w:sz w:val="24"/>
          <w:szCs w:val="24"/>
        </w:rPr>
      </w:pPr>
      <w:proofErr w:type="spellStart"/>
      <w:r w:rsidRPr="00576544">
        <w:rPr>
          <w:sz w:val="24"/>
          <w:szCs w:val="24"/>
        </w:rPr>
        <w:t>Tiamulinhydrogenfumarat</w:t>
      </w:r>
      <w:proofErr w:type="spellEnd"/>
      <w:r w:rsidRPr="00576544">
        <w:rPr>
          <w:sz w:val="24"/>
          <w:szCs w:val="24"/>
        </w:rPr>
        <w:t xml:space="preserve"> absorberes godt hos svin (over 90%) efter oral indgivelse og fordeles ud i hele kroppen. Efter en enkel oral dosis på 10 mg og 25 mg </w:t>
      </w:r>
      <w:proofErr w:type="spellStart"/>
      <w:r w:rsidRPr="00576544">
        <w:rPr>
          <w:sz w:val="24"/>
          <w:szCs w:val="24"/>
        </w:rPr>
        <w:t>tiamulinhydrogenfumarat</w:t>
      </w:r>
      <w:proofErr w:type="spellEnd"/>
      <w:r w:rsidRPr="00576544">
        <w:rPr>
          <w:sz w:val="24"/>
          <w:szCs w:val="24"/>
        </w:rPr>
        <w:t xml:space="preserve">/kg legemsvægt var </w:t>
      </w:r>
      <w:proofErr w:type="spellStart"/>
      <w:r w:rsidRPr="00576544">
        <w:rPr>
          <w:sz w:val="24"/>
          <w:szCs w:val="24"/>
        </w:rPr>
        <w:t>C</w:t>
      </w:r>
      <w:r w:rsidRPr="00576544">
        <w:rPr>
          <w:sz w:val="24"/>
          <w:szCs w:val="24"/>
          <w:vertAlign w:val="subscript"/>
        </w:rPr>
        <w:t>max</w:t>
      </w:r>
      <w:proofErr w:type="spellEnd"/>
      <w:r w:rsidRPr="00576544">
        <w:rPr>
          <w:sz w:val="24"/>
          <w:szCs w:val="24"/>
        </w:rPr>
        <w:t xml:space="preserve"> henholdsvis 1,03 µg/ml og 1,82 µg/ml i serum i en mikrobiologisk analyse, og </w:t>
      </w:r>
      <w:proofErr w:type="spellStart"/>
      <w:r w:rsidRPr="00576544">
        <w:rPr>
          <w:sz w:val="24"/>
          <w:szCs w:val="24"/>
        </w:rPr>
        <w:t>T</w:t>
      </w:r>
      <w:r w:rsidRPr="00576544">
        <w:rPr>
          <w:sz w:val="24"/>
          <w:szCs w:val="24"/>
          <w:vertAlign w:val="subscript"/>
        </w:rPr>
        <w:t>max</w:t>
      </w:r>
      <w:proofErr w:type="spellEnd"/>
      <w:r w:rsidRPr="00576544">
        <w:rPr>
          <w:sz w:val="24"/>
          <w:szCs w:val="24"/>
        </w:rPr>
        <w:t xml:space="preserve"> var 2 timer for begge. Det er påvist, at det koncentrerer sig i lungerne, de </w:t>
      </w:r>
      <w:proofErr w:type="spellStart"/>
      <w:r w:rsidRPr="00576544">
        <w:rPr>
          <w:sz w:val="24"/>
          <w:szCs w:val="24"/>
        </w:rPr>
        <w:t>polymorfnukleære</w:t>
      </w:r>
      <w:proofErr w:type="spellEnd"/>
      <w:r w:rsidRPr="00576544">
        <w:rPr>
          <w:sz w:val="24"/>
          <w:szCs w:val="24"/>
        </w:rPr>
        <w:t xml:space="preserve"> leukocytter og også i leveren, hvor det omsættes og udskilles (70-85%) i galden, resten udskilles via nyrerne (15-30 %). Binding til serumprotein er ca. 30 %. </w:t>
      </w:r>
      <w:proofErr w:type="spellStart"/>
      <w:r w:rsidRPr="00576544">
        <w:rPr>
          <w:sz w:val="24"/>
          <w:szCs w:val="24"/>
        </w:rPr>
        <w:t>Tiamulin</w:t>
      </w:r>
      <w:proofErr w:type="spellEnd"/>
      <w:r w:rsidRPr="00576544">
        <w:rPr>
          <w:sz w:val="24"/>
          <w:szCs w:val="24"/>
        </w:rPr>
        <w:t xml:space="preserve">, som ikke er absorberet eller omsat, passerer ned gennem tarmene til tyktarmen. Koncentrationen af </w:t>
      </w:r>
      <w:proofErr w:type="spellStart"/>
      <w:r w:rsidRPr="00576544">
        <w:rPr>
          <w:sz w:val="24"/>
          <w:szCs w:val="24"/>
        </w:rPr>
        <w:t>tiamulin</w:t>
      </w:r>
      <w:proofErr w:type="spellEnd"/>
      <w:r w:rsidRPr="00576544">
        <w:rPr>
          <w:sz w:val="24"/>
          <w:szCs w:val="24"/>
        </w:rPr>
        <w:t xml:space="preserve"> i tyktarmen er blevet estimeret til 3,41 µg/ml efter administration af </w:t>
      </w:r>
      <w:proofErr w:type="spellStart"/>
      <w:r w:rsidRPr="00576544">
        <w:rPr>
          <w:sz w:val="24"/>
          <w:szCs w:val="24"/>
        </w:rPr>
        <w:t>tiamulinhydrogenfumarat</w:t>
      </w:r>
      <w:proofErr w:type="spellEnd"/>
      <w:r w:rsidRPr="00576544">
        <w:rPr>
          <w:sz w:val="24"/>
          <w:szCs w:val="24"/>
        </w:rPr>
        <w:t xml:space="preserve"> med 8,8 mg/kg kropsvægt.</w:t>
      </w:r>
    </w:p>
    <w:p w14:paraId="7F918CAD" w14:textId="77777777" w:rsidR="00DA3E75" w:rsidRPr="00576544" w:rsidRDefault="00DA3E75" w:rsidP="00576544">
      <w:pPr>
        <w:ind w:left="851"/>
        <w:rPr>
          <w:sz w:val="24"/>
          <w:szCs w:val="24"/>
        </w:rPr>
      </w:pPr>
    </w:p>
    <w:p w14:paraId="0DCEBC3E" w14:textId="77777777" w:rsidR="00DA3E75" w:rsidRPr="00576544" w:rsidRDefault="00DA3E75" w:rsidP="00576544">
      <w:pPr>
        <w:ind w:left="851"/>
        <w:rPr>
          <w:sz w:val="24"/>
          <w:szCs w:val="24"/>
          <w:u w:val="single"/>
        </w:rPr>
      </w:pPr>
      <w:r w:rsidRPr="00576544">
        <w:rPr>
          <w:sz w:val="24"/>
          <w:szCs w:val="24"/>
          <w:u w:val="single"/>
        </w:rPr>
        <w:t>Høns (æglæggende høns)</w:t>
      </w:r>
    </w:p>
    <w:p w14:paraId="4F183F82" w14:textId="47188A22" w:rsidR="00DA3E75" w:rsidRPr="00576544" w:rsidRDefault="00DA3E75" w:rsidP="00576544">
      <w:pPr>
        <w:ind w:left="851"/>
        <w:rPr>
          <w:sz w:val="24"/>
          <w:szCs w:val="24"/>
        </w:rPr>
      </w:pPr>
      <w:proofErr w:type="spellStart"/>
      <w:r w:rsidRPr="00576544">
        <w:rPr>
          <w:sz w:val="24"/>
          <w:szCs w:val="24"/>
        </w:rPr>
        <w:t>Tiamulinhydrogenfumarat</w:t>
      </w:r>
      <w:proofErr w:type="spellEnd"/>
      <w:r w:rsidRPr="00576544">
        <w:rPr>
          <w:sz w:val="24"/>
          <w:szCs w:val="24"/>
        </w:rPr>
        <w:t xml:space="preserve"> absorberes godt hos høns (70-95 %) efter oral indgivelse og når maksimale koncentrationer inden for 2-4 timer (</w:t>
      </w:r>
      <w:proofErr w:type="spellStart"/>
      <w:r w:rsidRPr="00576544">
        <w:rPr>
          <w:sz w:val="24"/>
          <w:szCs w:val="24"/>
        </w:rPr>
        <w:t>T</w:t>
      </w:r>
      <w:r w:rsidRPr="00576544">
        <w:rPr>
          <w:sz w:val="24"/>
          <w:szCs w:val="24"/>
          <w:vertAlign w:val="subscript"/>
        </w:rPr>
        <w:t>max</w:t>
      </w:r>
      <w:proofErr w:type="spellEnd"/>
      <w:r w:rsidRPr="00576544">
        <w:rPr>
          <w:sz w:val="24"/>
          <w:szCs w:val="24"/>
          <w:vertAlign w:val="subscript"/>
        </w:rPr>
        <w:t xml:space="preserve"> </w:t>
      </w:r>
      <w:r w:rsidRPr="00576544">
        <w:rPr>
          <w:sz w:val="24"/>
          <w:szCs w:val="24"/>
        </w:rPr>
        <w:t xml:space="preserve">2,85 timer). Efter en enkelt dosis på 50 mg </w:t>
      </w:r>
      <w:proofErr w:type="spellStart"/>
      <w:r w:rsidRPr="00576544">
        <w:rPr>
          <w:sz w:val="24"/>
          <w:szCs w:val="24"/>
        </w:rPr>
        <w:t>tiamulinhydrogenfumarat</w:t>
      </w:r>
      <w:proofErr w:type="spellEnd"/>
      <w:r w:rsidRPr="00576544">
        <w:rPr>
          <w:sz w:val="24"/>
          <w:szCs w:val="24"/>
        </w:rPr>
        <w:t xml:space="preserve">/kg legemsvægt var </w:t>
      </w:r>
      <w:proofErr w:type="spellStart"/>
      <w:r w:rsidRPr="00576544">
        <w:rPr>
          <w:sz w:val="24"/>
          <w:szCs w:val="24"/>
        </w:rPr>
        <w:t>C</w:t>
      </w:r>
      <w:r w:rsidRPr="00576544">
        <w:rPr>
          <w:sz w:val="24"/>
          <w:szCs w:val="24"/>
          <w:vertAlign w:val="subscript"/>
        </w:rPr>
        <w:t>max</w:t>
      </w:r>
      <w:proofErr w:type="spellEnd"/>
      <w:r w:rsidRPr="00576544">
        <w:rPr>
          <w:sz w:val="24"/>
          <w:szCs w:val="24"/>
        </w:rPr>
        <w:t xml:space="preserve"> 4,02 µg/ml i serum i en mikrobiologisk analyse, og efter en dosis på 25 mg/kg var den 1,86 µg/ml. I drikkevand gav en koncentration på 250 ppm (0,025 %) </w:t>
      </w:r>
      <w:proofErr w:type="spellStart"/>
      <w:r w:rsidRPr="00576544">
        <w:rPr>
          <w:sz w:val="24"/>
          <w:szCs w:val="24"/>
        </w:rPr>
        <w:t>tiamulinhydrogenfumarat</w:t>
      </w:r>
      <w:proofErr w:type="spellEnd"/>
      <w:r w:rsidRPr="00576544">
        <w:rPr>
          <w:sz w:val="24"/>
          <w:szCs w:val="24"/>
        </w:rPr>
        <w:t xml:space="preserve"> et gennemsnitligt serumniveau på 0,78 µg/ml (spredning 1,4-0,45 µg/ml) set over en medicineringsperiode på 48 timer, og en koncentration på 125 ppm (0,0125 %) gav et serumniveau på 0,38 µg/ml (spredning 0,65-0,2 µg/ml) hos 8 uger gamle kyllinger. Binding til serumprotein var ca. 45</w:t>
      </w:r>
      <w:r w:rsidR="003F459E">
        <w:rPr>
          <w:sz w:val="24"/>
          <w:szCs w:val="24"/>
        </w:rPr>
        <w:t> </w:t>
      </w:r>
      <w:r w:rsidRPr="00576544">
        <w:rPr>
          <w:sz w:val="24"/>
          <w:szCs w:val="24"/>
        </w:rPr>
        <w:t xml:space="preserve">%. </w:t>
      </w:r>
      <w:proofErr w:type="spellStart"/>
      <w:r w:rsidRPr="00576544">
        <w:rPr>
          <w:sz w:val="24"/>
          <w:szCs w:val="24"/>
        </w:rPr>
        <w:t>Tiamulin</w:t>
      </w:r>
      <w:proofErr w:type="spellEnd"/>
      <w:r w:rsidRPr="00576544">
        <w:rPr>
          <w:sz w:val="24"/>
          <w:szCs w:val="24"/>
        </w:rPr>
        <w:t xml:space="preserve"> fordeles ud i hele kroppen, og det er påvist, at det koncentrerer sig i leveren og nyrerne (udskillelsessteder) og i lungerne (30 gange serumniveau). Udskillelsen sker hovedsageligt via galden (55-65 %) og nyrerne (15-30 %) som primært mikrobiologisk inaktive metabolitter og er ganske hurtig, 99 % af dosis inden for 48 timer.</w:t>
      </w:r>
    </w:p>
    <w:p w14:paraId="277824CB" w14:textId="77777777" w:rsidR="00913DF5" w:rsidRPr="00576544" w:rsidRDefault="00913DF5" w:rsidP="00576544">
      <w:pPr>
        <w:ind w:left="851"/>
        <w:rPr>
          <w:sz w:val="24"/>
          <w:szCs w:val="24"/>
        </w:rPr>
      </w:pPr>
    </w:p>
    <w:p w14:paraId="47285983" w14:textId="77777777" w:rsidR="00913DF5" w:rsidRPr="00576544" w:rsidRDefault="00913DF5" w:rsidP="00576544">
      <w:pPr>
        <w:ind w:left="851"/>
        <w:rPr>
          <w:b/>
          <w:sz w:val="24"/>
          <w:szCs w:val="24"/>
        </w:rPr>
      </w:pPr>
      <w:r w:rsidRPr="00576544">
        <w:rPr>
          <w:b/>
          <w:sz w:val="24"/>
          <w:szCs w:val="24"/>
        </w:rPr>
        <w:lastRenderedPageBreak/>
        <w:t>Miljøoplysninger</w:t>
      </w:r>
    </w:p>
    <w:p w14:paraId="4FD2858A" w14:textId="77777777" w:rsidR="00DA3E75" w:rsidRPr="00576544" w:rsidRDefault="00DA3E75" w:rsidP="00576544">
      <w:pPr>
        <w:tabs>
          <w:tab w:val="left" w:pos="1304"/>
        </w:tabs>
        <w:ind w:left="851"/>
        <w:rPr>
          <w:sz w:val="24"/>
          <w:szCs w:val="24"/>
        </w:rPr>
      </w:pPr>
      <w:proofErr w:type="spellStart"/>
      <w:r w:rsidRPr="00576544">
        <w:rPr>
          <w:sz w:val="24"/>
          <w:szCs w:val="24"/>
        </w:rPr>
        <w:t>Tiamulin</w:t>
      </w:r>
      <w:proofErr w:type="spellEnd"/>
      <w:r w:rsidRPr="00576544">
        <w:rPr>
          <w:sz w:val="24"/>
          <w:szCs w:val="24"/>
        </w:rPr>
        <w:t xml:space="preserve"> nedbrydes langsomt i jord og kan akkumulere i løbet af tiden.</w:t>
      </w:r>
    </w:p>
    <w:p w14:paraId="1B49DB54" w14:textId="1BE452C3" w:rsidR="00913DF5" w:rsidRDefault="00913DF5" w:rsidP="00913DF5">
      <w:pPr>
        <w:tabs>
          <w:tab w:val="left" w:pos="851"/>
        </w:tabs>
        <w:ind w:left="851"/>
        <w:rPr>
          <w:sz w:val="24"/>
          <w:szCs w:val="24"/>
        </w:rPr>
      </w:pPr>
    </w:p>
    <w:p w14:paraId="2147BF3C" w14:textId="77777777" w:rsidR="00576544" w:rsidRPr="00576544" w:rsidRDefault="00576544" w:rsidP="00913DF5">
      <w:pPr>
        <w:tabs>
          <w:tab w:val="left" w:pos="851"/>
        </w:tabs>
        <w:ind w:left="851"/>
        <w:rPr>
          <w:sz w:val="24"/>
          <w:szCs w:val="24"/>
        </w:rPr>
      </w:pPr>
    </w:p>
    <w:p w14:paraId="7B6FF4C9" w14:textId="77777777" w:rsidR="00913DF5" w:rsidRPr="00576544" w:rsidRDefault="00913DF5" w:rsidP="00913DF5">
      <w:pPr>
        <w:ind w:left="851" w:hanging="851"/>
        <w:rPr>
          <w:b/>
          <w:sz w:val="24"/>
          <w:szCs w:val="24"/>
        </w:rPr>
      </w:pPr>
      <w:r w:rsidRPr="00576544">
        <w:rPr>
          <w:b/>
          <w:sz w:val="24"/>
          <w:szCs w:val="24"/>
        </w:rPr>
        <w:t>5.</w:t>
      </w:r>
      <w:r w:rsidRPr="00576544">
        <w:rPr>
          <w:b/>
          <w:sz w:val="24"/>
          <w:szCs w:val="24"/>
        </w:rPr>
        <w:tab/>
        <w:t>FARMACEUTISKE OPLYSNINGER</w:t>
      </w:r>
    </w:p>
    <w:p w14:paraId="110EC9F8" w14:textId="77777777" w:rsidR="00913DF5" w:rsidRPr="00576544" w:rsidRDefault="00913DF5" w:rsidP="00913DF5">
      <w:pPr>
        <w:tabs>
          <w:tab w:val="left" w:pos="851"/>
        </w:tabs>
        <w:ind w:left="851"/>
        <w:rPr>
          <w:sz w:val="24"/>
          <w:szCs w:val="24"/>
        </w:rPr>
      </w:pPr>
    </w:p>
    <w:p w14:paraId="7F66E7D0" w14:textId="77777777" w:rsidR="00913DF5" w:rsidRPr="00576544" w:rsidRDefault="00913DF5" w:rsidP="00913DF5">
      <w:pPr>
        <w:ind w:left="851" w:hanging="851"/>
        <w:rPr>
          <w:b/>
          <w:sz w:val="24"/>
          <w:szCs w:val="24"/>
        </w:rPr>
      </w:pPr>
      <w:r w:rsidRPr="00576544">
        <w:rPr>
          <w:b/>
          <w:sz w:val="24"/>
          <w:szCs w:val="24"/>
        </w:rPr>
        <w:t>5.1</w:t>
      </w:r>
      <w:r w:rsidRPr="00576544">
        <w:rPr>
          <w:b/>
          <w:sz w:val="24"/>
          <w:szCs w:val="24"/>
        </w:rPr>
        <w:tab/>
        <w:t>Væsentlige uforligeligheder</w:t>
      </w:r>
    </w:p>
    <w:p w14:paraId="64F362AA" w14:textId="77777777" w:rsidR="00DA3E75" w:rsidRPr="00576544" w:rsidRDefault="00DA3E75" w:rsidP="00576544">
      <w:pPr>
        <w:ind w:left="851"/>
        <w:rPr>
          <w:sz w:val="24"/>
          <w:szCs w:val="24"/>
        </w:rPr>
      </w:pPr>
      <w:r w:rsidRPr="00576544">
        <w:rPr>
          <w:sz w:val="24"/>
          <w:szCs w:val="24"/>
        </w:rPr>
        <w:t>Da der ikke er undersøgelser vedrørende eventuelle uforligeligheder, må dette veterinærlægemiddel ikke blandes med andre veterinærlægemidler.</w:t>
      </w:r>
    </w:p>
    <w:p w14:paraId="5F112FDA" w14:textId="77777777" w:rsidR="00913DF5" w:rsidRPr="00576544" w:rsidRDefault="00913DF5" w:rsidP="00913DF5">
      <w:pPr>
        <w:tabs>
          <w:tab w:val="left" w:pos="851"/>
        </w:tabs>
        <w:ind w:left="851"/>
        <w:rPr>
          <w:sz w:val="24"/>
          <w:szCs w:val="24"/>
        </w:rPr>
      </w:pPr>
    </w:p>
    <w:p w14:paraId="3165A6A6" w14:textId="77777777" w:rsidR="00913DF5" w:rsidRPr="00576544" w:rsidRDefault="00913DF5" w:rsidP="00913DF5">
      <w:pPr>
        <w:ind w:left="851" w:hanging="851"/>
        <w:rPr>
          <w:b/>
          <w:sz w:val="24"/>
          <w:szCs w:val="24"/>
        </w:rPr>
      </w:pPr>
      <w:r w:rsidRPr="00576544">
        <w:rPr>
          <w:b/>
          <w:sz w:val="24"/>
          <w:szCs w:val="24"/>
        </w:rPr>
        <w:t>5.2</w:t>
      </w:r>
      <w:r w:rsidRPr="00576544">
        <w:rPr>
          <w:b/>
          <w:sz w:val="24"/>
          <w:szCs w:val="24"/>
        </w:rPr>
        <w:tab/>
        <w:t>Opbevaringstid</w:t>
      </w:r>
    </w:p>
    <w:p w14:paraId="7BC67003" w14:textId="77777777" w:rsidR="00DA3E75" w:rsidRPr="00576544" w:rsidRDefault="00DA3E75" w:rsidP="00576544">
      <w:pPr>
        <w:ind w:left="851"/>
        <w:rPr>
          <w:sz w:val="24"/>
          <w:szCs w:val="24"/>
        </w:rPr>
      </w:pPr>
      <w:r w:rsidRPr="00576544">
        <w:rPr>
          <w:sz w:val="24"/>
          <w:szCs w:val="24"/>
        </w:rPr>
        <w:t xml:space="preserve">Opbevaringstid for veterinærlægemidlet i salgspakning: 3 år. </w:t>
      </w:r>
    </w:p>
    <w:p w14:paraId="06C41582" w14:textId="77777777" w:rsidR="00DA3E75" w:rsidRPr="00576544" w:rsidRDefault="00DA3E75" w:rsidP="00576544">
      <w:pPr>
        <w:ind w:left="851"/>
        <w:rPr>
          <w:sz w:val="24"/>
          <w:szCs w:val="24"/>
        </w:rPr>
      </w:pPr>
      <w:r w:rsidRPr="00576544">
        <w:rPr>
          <w:sz w:val="24"/>
          <w:szCs w:val="24"/>
        </w:rPr>
        <w:t>Opbevaringstid efter første åbning af den indre emballage: 3 måneder</w:t>
      </w:r>
    </w:p>
    <w:p w14:paraId="2B79DDCA" w14:textId="77777777" w:rsidR="00DA3E75" w:rsidRPr="00576544" w:rsidRDefault="00DA3E75" w:rsidP="00576544">
      <w:pPr>
        <w:ind w:left="851"/>
        <w:rPr>
          <w:sz w:val="24"/>
          <w:szCs w:val="24"/>
        </w:rPr>
      </w:pPr>
      <w:r w:rsidRPr="00576544">
        <w:rPr>
          <w:sz w:val="24"/>
          <w:szCs w:val="24"/>
        </w:rPr>
        <w:t>Opbevaringstid efter opløsning i drikkevand ifølge anvisning: 24 timer.</w:t>
      </w:r>
    </w:p>
    <w:p w14:paraId="3B31399F" w14:textId="77777777" w:rsidR="00913DF5" w:rsidRPr="00576544" w:rsidRDefault="00913DF5" w:rsidP="00913DF5">
      <w:pPr>
        <w:tabs>
          <w:tab w:val="left" w:pos="851"/>
        </w:tabs>
        <w:ind w:left="851"/>
        <w:rPr>
          <w:sz w:val="24"/>
          <w:szCs w:val="24"/>
        </w:rPr>
      </w:pPr>
    </w:p>
    <w:p w14:paraId="6A7C5350" w14:textId="77777777" w:rsidR="00913DF5" w:rsidRPr="00576544" w:rsidRDefault="00913DF5" w:rsidP="00913DF5">
      <w:pPr>
        <w:ind w:left="851" w:hanging="851"/>
        <w:rPr>
          <w:b/>
          <w:sz w:val="24"/>
          <w:szCs w:val="24"/>
        </w:rPr>
      </w:pPr>
      <w:r w:rsidRPr="00576544">
        <w:rPr>
          <w:b/>
          <w:sz w:val="24"/>
          <w:szCs w:val="24"/>
        </w:rPr>
        <w:t>5.3</w:t>
      </w:r>
      <w:r w:rsidRPr="00576544">
        <w:rPr>
          <w:b/>
          <w:sz w:val="24"/>
          <w:szCs w:val="24"/>
        </w:rPr>
        <w:tab/>
        <w:t>Særlige forholdsregler vedrørende opbevaring</w:t>
      </w:r>
    </w:p>
    <w:p w14:paraId="3B194987" w14:textId="77777777" w:rsidR="00DA3E75" w:rsidRPr="00576544" w:rsidRDefault="00DA3E75" w:rsidP="00576544">
      <w:pPr>
        <w:ind w:left="851"/>
        <w:rPr>
          <w:sz w:val="24"/>
          <w:szCs w:val="24"/>
        </w:rPr>
      </w:pPr>
      <w:r w:rsidRPr="00576544">
        <w:rPr>
          <w:sz w:val="24"/>
          <w:szCs w:val="24"/>
        </w:rPr>
        <w:t>Opbevares i den originale beholder for at beskytte mod lys.</w:t>
      </w:r>
    </w:p>
    <w:p w14:paraId="79134817" w14:textId="77777777" w:rsidR="00913DF5" w:rsidRPr="00576544" w:rsidRDefault="00913DF5" w:rsidP="00913DF5">
      <w:pPr>
        <w:tabs>
          <w:tab w:val="left" w:pos="851"/>
        </w:tabs>
        <w:ind w:left="851"/>
        <w:rPr>
          <w:sz w:val="24"/>
          <w:szCs w:val="24"/>
        </w:rPr>
      </w:pPr>
    </w:p>
    <w:p w14:paraId="73C18F3E" w14:textId="77777777" w:rsidR="00913DF5" w:rsidRPr="00576544" w:rsidRDefault="00913DF5" w:rsidP="00913DF5">
      <w:pPr>
        <w:ind w:left="851" w:hanging="851"/>
        <w:rPr>
          <w:b/>
          <w:sz w:val="24"/>
          <w:szCs w:val="24"/>
        </w:rPr>
      </w:pPr>
      <w:r w:rsidRPr="00576544">
        <w:rPr>
          <w:b/>
          <w:sz w:val="24"/>
          <w:szCs w:val="24"/>
        </w:rPr>
        <w:t>5.4</w:t>
      </w:r>
      <w:r w:rsidRPr="00576544">
        <w:rPr>
          <w:b/>
          <w:sz w:val="24"/>
          <w:szCs w:val="24"/>
        </w:rPr>
        <w:tab/>
        <w:t>Den indre emballages art og indhold</w:t>
      </w:r>
    </w:p>
    <w:p w14:paraId="26C59DF4" w14:textId="77777777" w:rsidR="00DA3E75" w:rsidRPr="00576544" w:rsidRDefault="00DA3E75" w:rsidP="00576544">
      <w:pPr>
        <w:ind w:left="851"/>
        <w:rPr>
          <w:sz w:val="24"/>
          <w:szCs w:val="24"/>
        </w:rPr>
      </w:pPr>
      <w:r w:rsidRPr="00576544">
        <w:rPr>
          <w:sz w:val="24"/>
          <w:szCs w:val="24"/>
        </w:rPr>
        <w:t>Veterinærlægemidlet fås i:</w:t>
      </w:r>
    </w:p>
    <w:p w14:paraId="06495177" w14:textId="77777777" w:rsidR="00DA3E75" w:rsidRPr="00576544" w:rsidRDefault="00DA3E75" w:rsidP="00576544">
      <w:pPr>
        <w:numPr>
          <w:ilvl w:val="0"/>
          <w:numId w:val="6"/>
        </w:numPr>
        <w:tabs>
          <w:tab w:val="clear" w:pos="720"/>
        </w:tabs>
        <w:ind w:left="1276" w:hanging="425"/>
        <w:rPr>
          <w:sz w:val="24"/>
          <w:szCs w:val="24"/>
        </w:rPr>
      </w:pPr>
      <w:r w:rsidRPr="00576544">
        <w:rPr>
          <w:sz w:val="24"/>
          <w:szCs w:val="24"/>
        </w:rPr>
        <w:t>1 liter HDPE-flaske lukket med skruelåg fremstillet af PP og forsegling fremstillet af LDPE.</w:t>
      </w:r>
    </w:p>
    <w:p w14:paraId="45C70212" w14:textId="77777777" w:rsidR="00DA3E75" w:rsidRPr="00576544" w:rsidRDefault="00DA3E75" w:rsidP="00576544">
      <w:pPr>
        <w:numPr>
          <w:ilvl w:val="0"/>
          <w:numId w:val="6"/>
        </w:numPr>
        <w:tabs>
          <w:tab w:val="clear" w:pos="720"/>
        </w:tabs>
        <w:ind w:left="1276" w:hanging="425"/>
        <w:rPr>
          <w:sz w:val="24"/>
          <w:szCs w:val="24"/>
        </w:rPr>
      </w:pPr>
      <w:r w:rsidRPr="00576544">
        <w:rPr>
          <w:sz w:val="24"/>
          <w:szCs w:val="24"/>
        </w:rPr>
        <w:t>5 liter HDPE-beholder lukket med riflet børnesikret skruelåg af HDPE.</w:t>
      </w:r>
    </w:p>
    <w:p w14:paraId="7EA73D15" w14:textId="77777777" w:rsidR="00DA3E75" w:rsidRPr="00576544" w:rsidRDefault="00DA3E75" w:rsidP="00576544">
      <w:pPr>
        <w:ind w:left="851"/>
        <w:rPr>
          <w:sz w:val="24"/>
          <w:szCs w:val="24"/>
        </w:rPr>
      </w:pPr>
      <w:r w:rsidRPr="00576544">
        <w:rPr>
          <w:sz w:val="24"/>
          <w:szCs w:val="24"/>
        </w:rPr>
        <w:t>Ikke alle pakningsstørrelser er nødvendigvis markedsført.</w:t>
      </w:r>
    </w:p>
    <w:p w14:paraId="381B04BD" w14:textId="77777777" w:rsidR="00913DF5" w:rsidRPr="00576544" w:rsidRDefault="00913DF5" w:rsidP="00913DF5">
      <w:pPr>
        <w:tabs>
          <w:tab w:val="left" w:pos="851"/>
        </w:tabs>
        <w:ind w:left="851"/>
        <w:rPr>
          <w:sz w:val="24"/>
          <w:szCs w:val="24"/>
        </w:rPr>
      </w:pPr>
    </w:p>
    <w:p w14:paraId="7F9189A4" w14:textId="77777777" w:rsidR="00913DF5" w:rsidRPr="00576544" w:rsidRDefault="00913DF5" w:rsidP="00913DF5">
      <w:pPr>
        <w:tabs>
          <w:tab w:val="left" w:pos="851"/>
        </w:tabs>
        <w:ind w:left="851" w:hanging="851"/>
        <w:rPr>
          <w:sz w:val="24"/>
          <w:szCs w:val="24"/>
        </w:rPr>
      </w:pPr>
      <w:r w:rsidRPr="00576544">
        <w:rPr>
          <w:b/>
          <w:sz w:val="24"/>
          <w:szCs w:val="24"/>
        </w:rPr>
        <w:t>5.5</w:t>
      </w:r>
      <w:r w:rsidRPr="00576544">
        <w:rPr>
          <w:b/>
          <w:sz w:val="24"/>
          <w:szCs w:val="24"/>
        </w:rPr>
        <w:tab/>
        <w:t>Særlige forholdsregler vedrørende bortskaffelse af ubrugte veterinærlægemidler eller affaldsmaterialer fra brugen heraf</w:t>
      </w:r>
    </w:p>
    <w:p w14:paraId="475C1D31" w14:textId="77777777" w:rsidR="00DA3E75" w:rsidRPr="00576544" w:rsidRDefault="00DA3E75" w:rsidP="00576544">
      <w:pPr>
        <w:ind w:left="851" w:right="-318"/>
        <w:rPr>
          <w:sz w:val="24"/>
          <w:szCs w:val="24"/>
        </w:rPr>
      </w:pPr>
      <w:r w:rsidRPr="00576544">
        <w:rPr>
          <w:sz w:val="24"/>
          <w:szCs w:val="24"/>
        </w:rPr>
        <w:t>Lægemidler må ikke bortskaffes sammen med spildevand eller husholdningsaffald.</w:t>
      </w:r>
    </w:p>
    <w:p w14:paraId="33D8BE3D" w14:textId="77777777" w:rsidR="00DA3E75" w:rsidRPr="00576544" w:rsidRDefault="00DA3E75" w:rsidP="00576544">
      <w:pPr>
        <w:ind w:left="851" w:right="-318"/>
        <w:rPr>
          <w:sz w:val="24"/>
          <w:szCs w:val="24"/>
        </w:rPr>
      </w:pPr>
    </w:p>
    <w:p w14:paraId="1D06F10B" w14:textId="77777777" w:rsidR="00DA3E75" w:rsidRPr="00576544" w:rsidRDefault="00DA3E75" w:rsidP="00576544">
      <w:pPr>
        <w:ind w:left="851" w:right="-318"/>
        <w:rPr>
          <w:sz w:val="24"/>
          <w:szCs w:val="24"/>
        </w:rPr>
      </w:pPr>
      <w:r w:rsidRPr="0057654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500B020" w14:textId="77777777" w:rsidR="00913DF5" w:rsidRPr="00576544" w:rsidRDefault="00913DF5" w:rsidP="00913DF5">
      <w:pPr>
        <w:tabs>
          <w:tab w:val="left" w:pos="851"/>
        </w:tabs>
        <w:ind w:left="851"/>
        <w:rPr>
          <w:sz w:val="24"/>
          <w:szCs w:val="24"/>
        </w:rPr>
      </w:pPr>
    </w:p>
    <w:p w14:paraId="3671A98C" w14:textId="77777777" w:rsidR="00913DF5" w:rsidRPr="00576544" w:rsidRDefault="00913DF5" w:rsidP="00913DF5">
      <w:pPr>
        <w:tabs>
          <w:tab w:val="left" w:pos="851"/>
        </w:tabs>
        <w:ind w:left="851" w:hanging="851"/>
        <w:rPr>
          <w:b/>
          <w:sz w:val="24"/>
          <w:szCs w:val="24"/>
        </w:rPr>
      </w:pPr>
      <w:r w:rsidRPr="00576544">
        <w:rPr>
          <w:b/>
          <w:sz w:val="24"/>
          <w:szCs w:val="24"/>
        </w:rPr>
        <w:t>6.</w:t>
      </w:r>
      <w:r w:rsidRPr="00576544">
        <w:rPr>
          <w:b/>
          <w:sz w:val="24"/>
          <w:szCs w:val="24"/>
        </w:rPr>
        <w:tab/>
        <w:t>NAVN PÅ INDEHAVEREN AF MARKEDSFØRINGSTILLADELSEN</w:t>
      </w:r>
    </w:p>
    <w:p w14:paraId="436822BB" w14:textId="77777777" w:rsidR="00DA3E75" w:rsidRPr="00576544" w:rsidRDefault="00DA3E75" w:rsidP="00576544">
      <w:pPr>
        <w:tabs>
          <w:tab w:val="left" w:pos="2851"/>
          <w:tab w:val="left" w:pos="4569"/>
        </w:tabs>
        <w:ind w:left="851"/>
        <w:rPr>
          <w:sz w:val="24"/>
          <w:szCs w:val="24"/>
        </w:rPr>
      </w:pPr>
      <w:proofErr w:type="spellStart"/>
      <w:r w:rsidRPr="00576544">
        <w:rPr>
          <w:sz w:val="24"/>
          <w:szCs w:val="24"/>
        </w:rPr>
        <w:t>Huvepharma</w:t>
      </w:r>
      <w:proofErr w:type="spellEnd"/>
      <w:r w:rsidRPr="00576544">
        <w:rPr>
          <w:sz w:val="24"/>
          <w:szCs w:val="24"/>
        </w:rPr>
        <w:t xml:space="preserve"> NV</w:t>
      </w:r>
    </w:p>
    <w:p w14:paraId="0D094A56" w14:textId="77777777" w:rsidR="00DA3E75" w:rsidRPr="00576544" w:rsidRDefault="00DA3E75" w:rsidP="00576544">
      <w:pPr>
        <w:tabs>
          <w:tab w:val="left" w:pos="2851"/>
          <w:tab w:val="left" w:pos="4569"/>
        </w:tabs>
        <w:ind w:left="851"/>
        <w:rPr>
          <w:sz w:val="24"/>
          <w:szCs w:val="24"/>
        </w:rPr>
      </w:pPr>
      <w:proofErr w:type="spellStart"/>
      <w:r w:rsidRPr="00576544">
        <w:rPr>
          <w:sz w:val="24"/>
          <w:szCs w:val="24"/>
        </w:rPr>
        <w:t>Uitbreidingstraat</w:t>
      </w:r>
      <w:proofErr w:type="spellEnd"/>
      <w:r w:rsidRPr="00576544">
        <w:rPr>
          <w:sz w:val="24"/>
          <w:szCs w:val="24"/>
        </w:rPr>
        <w:t xml:space="preserve"> 80</w:t>
      </w:r>
    </w:p>
    <w:p w14:paraId="38757605" w14:textId="77777777" w:rsidR="00DA3E75" w:rsidRPr="00576544" w:rsidRDefault="00DA3E75" w:rsidP="00576544">
      <w:pPr>
        <w:tabs>
          <w:tab w:val="left" w:pos="2851"/>
          <w:tab w:val="left" w:pos="4569"/>
        </w:tabs>
        <w:ind w:left="851"/>
        <w:rPr>
          <w:sz w:val="24"/>
          <w:szCs w:val="24"/>
        </w:rPr>
      </w:pPr>
      <w:r w:rsidRPr="00576544">
        <w:rPr>
          <w:sz w:val="24"/>
          <w:szCs w:val="24"/>
        </w:rPr>
        <w:t>2600 Antwerpen</w:t>
      </w:r>
    </w:p>
    <w:p w14:paraId="0D3D812D" w14:textId="77777777" w:rsidR="00DA3E75" w:rsidRPr="00576544" w:rsidRDefault="00DA3E75" w:rsidP="00576544">
      <w:pPr>
        <w:tabs>
          <w:tab w:val="left" w:pos="1304"/>
        </w:tabs>
        <w:ind w:left="851"/>
        <w:rPr>
          <w:sz w:val="24"/>
          <w:szCs w:val="24"/>
        </w:rPr>
      </w:pPr>
      <w:r w:rsidRPr="00576544">
        <w:rPr>
          <w:sz w:val="24"/>
          <w:szCs w:val="24"/>
        </w:rPr>
        <w:t>Belgien</w:t>
      </w:r>
    </w:p>
    <w:p w14:paraId="4DD79A78" w14:textId="77777777" w:rsidR="00913DF5" w:rsidRPr="00576544" w:rsidRDefault="00913DF5" w:rsidP="00913DF5">
      <w:pPr>
        <w:tabs>
          <w:tab w:val="left" w:pos="851"/>
        </w:tabs>
        <w:ind w:left="851"/>
        <w:rPr>
          <w:sz w:val="24"/>
          <w:szCs w:val="24"/>
        </w:rPr>
      </w:pPr>
    </w:p>
    <w:p w14:paraId="634DBD2A" w14:textId="77777777" w:rsidR="00913DF5" w:rsidRPr="00576544" w:rsidRDefault="00913DF5" w:rsidP="00913DF5">
      <w:pPr>
        <w:ind w:left="851" w:hanging="851"/>
        <w:rPr>
          <w:b/>
          <w:sz w:val="24"/>
          <w:szCs w:val="24"/>
        </w:rPr>
      </w:pPr>
      <w:r w:rsidRPr="00576544">
        <w:rPr>
          <w:b/>
          <w:sz w:val="24"/>
          <w:szCs w:val="24"/>
        </w:rPr>
        <w:t>7.</w:t>
      </w:r>
      <w:r w:rsidRPr="00576544">
        <w:rPr>
          <w:b/>
          <w:sz w:val="24"/>
          <w:szCs w:val="24"/>
        </w:rPr>
        <w:tab/>
        <w:t>MARKEDSFØRINGSTILLADELSESNUMMER (-NUMRE)</w:t>
      </w:r>
    </w:p>
    <w:p w14:paraId="146D2F4D" w14:textId="77777777" w:rsidR="00DA3E75" w:rsidRPr="00576544" w:rsidRDefault="00DA3E75" w:rsidP="00576544">
      <w:pPr>
        <w:ind w:left="851"/>
        <w:rPr>
          <w:sz w:val="24"/>
          <w:szCs w:val="24"/>
        </w:rPr>
      </w:pPr>
      <w:r w:rsidRPr="00576544">
        <w:rPr>
          <w:sz w:val="24"/>
          <w:szCs w:val="24"/>
        </w:rPr>
        <w:t>60221</w:t>
      </w:r>
    </w:p>
    <w:p w14:paraId="2D456B02" w14:textId="77777777" w:rsidR="00913DF5" w:rsidRPr="00576544" w:rsidRDefault="00913DF5" w:rsidP="00913DF5">
      <w:pPr>
        <w:tabs>
          <w:tab w:val="left" w:pos="851"/>
        </w:tabs>
        <w:ind w:left="851"/>
        <w:rPr>
          <w:sz w:val="24"/>
          <w:szCs w:val="24"/>
        </w:rPr>
      </w:pPr>
    </w:p>
    <w:p w14:paraId="5B26ECFD" w14:textId="77777777" w:rsidR="00913DF5" w:rsidRPr="00576544" w:rsidRDefault="00913DF5" w:rsidP="00913DF5">
      <w:pPr>
        <w:tabs>
          <w:tab w:val="left" w:pos="851"/>
        </w:tabs>
        <w:ind w:left="851" w:hanging="851"/>
        <w:rPr>
          <w:b/>
          <w:sz w:val="24"/>
          <w:szCs w:val="24"/>
        </w:rPr>
      </w:pPr>
      <w:r w:rsidRPr="00576544">
        <w:rPr>
          <w:b/>
          <w:sz w:val="24"/>
          <w:szCs w:val="24"/>
        </w:rPr>
        <w:t>8.</w:t>
      </w:r>
      <w:r w:rsidRPr="00576544">
        <w:rPr>
          <w:b/>
          <w:sz w:val="24"/>
          <w:szCs w:val="24"/>
        </w:rPr>
        <w:tab/>
        <w:t>DATO FOR FØRSTE TILLADELSE</w:t>
      </w:r>
    </w:p>
    <w:p w14:paraId="06FABA1B" w14:textId="77777777" w:rsidR="00DA3E75" w:rsidRPr="00576544" w:rsidRDefault="00DA3E75" w:rsidP="00DA3E75">
      <w:pPr>
        <w:tabs>
          <w:tab w:val="left" w:pos="851"/>
          <w:tab w:val="left" w:pos="8222"/>
        </w:tabs>
        <w:ind w:left="851"/>
        <w:rPr>
          <w:sz w:val="24"/>
          <w:szCs w:val="24"/>
        </w:rPr>
      </w:pPr>
      <w:r w:rsidRPr="00576544">
        <w:rPr>
          <w:sz w:val="24"/>
          <w:szCs w:val="24"/>
        </w:rPr>
        <w:t xml:space="preserve">4. maj 2009 (granulat til anvendelse i drikkevand 450 mg/g samt </w:t>
      </w:r>
      <w:proofErr w:type="spellStart"/>
      <w:r w:rsidRPr="00576544">
        <w:rPr>
          <w:sz w:val="24"/>
          <w:szCs w:val="24"/>
        </w:rPr>
        <w:t>premix</w:t>
      </w:r>
      <w:proofErr w:type="spellEnd"/>
      <w:r w:rsidRPr="00576544">
        <w:rPr>
          <w:sz w:val="24"/>
          <w:szCs w:val="24"/>
        </w:rPr>
        <w:t xml:space="preserve"> til foder</w:t>
      </w:r>
      <w:r w:rsidRPr="00576544">
        <w:rPr>
          <w:sz w:val="24"/>
          <w:szCs w:val="24"/>
        </w:rPr>
        <w:softHyphen/>
        <w:t>lægemiddel 100 mg/g)</w:t>
      </w:r>
    </w:p>
    <w:p w14:paraId="688B4C95" w14:textId="77777777" w:rsidR="00913DF5" w:rsidRPr="00576544" w:rsidRDefault="00913DF5" w:rsidP="00913DF5">
      <w:pPr>
        <w:tabs>
          <w:tab w:val="left" w:pos="851"/>
        </w:tabs>
        <w:ind w:left="851"/>
        <w:rPr>
          <w:sz w:val="24"/>
          <w:szCs w:val="24"/>
        </w:rPr>
      </w:pPr>
    </w:p>
    <w:p w14:paraId="4305DD00" w14:textId="77777777" w:rsidR="00913DF5" w:rsidRPr="00576544" w:rsidRDefault="00913DF5" w:rsidP="00913DF5">
      <w:pPr>
        <w:tabs>
          <w:tab w:val="left" w:pos="851"/>
        </w:tabs>
        <w:ind w:left="851" w:hanging="851"/>
        <w:rPr>
          <w:b/>
          <w:sz w:val="24"/>
          <w:szCs w:val="24"/>
        </w:rPr>
      </w:pPr>
      <w:r w:rsidRPr="00576544">
        <w:rPr>
          <w:b/>
          <w:sz w:val="24"/>
          <w:szCs w:val="24"/>
        </w:rPr>
        <w:t>9.</w:t>
      </w:r>
      <w:r w:rsidRPr="00576544">
        <w:rPr>
          <w:b/>
          <w:sz w:val="24"/>
          <w:szCs w:val="24"/>
        </w:rPr>
        <w:tab/>
        <w:t>DATO FOR SENESTE ÆNDRING AF PRODUKTRESUMÉET</w:t>
      </w:r>
    </w:p>
    <w:p w14:paraId="52FC1FEA" w14:textId="6E07A5F5" w:rsidR="00913DF5" w:rsidRPr="00576544" w:rsidRDefault="003F459E" w:rsidP="00913DF5">
      <w:pPr>
        <w:tabs>
          <w:tab w:val="left" w:pos="851"/>
        </w:tabs>
        <w:ind w:left="851"/>
        <w:rPr>
          <w:sz w:val="24"/>
          <w:szCs w:val="24"/>
        </w:rPr>
      </w:pPr>
      <w:r>
        <w:rPr>
          <w:sz w:val="24"/>
          <w:szCs w:val="24"/>
        </w:rPr>
        <w:t>2</w:t>
      </w:r>
      <w:r w:rsidR="0016312B">
        <w:rPr>
          <w:sz w:val="24"/>
          <w:szCs w:val="24"/>
        </w:rPr>
        <w:t>4</w:t>
      </w:r>
      <w:r>
        <w:rPr>
          <w:sz w:val="24"/>
          <w:szCs w:val="24"/>
        </w:rPr>
        <w:t>. marts 2025</w:t>
      </w:r>
    </w:p>
    <w:p w14:paraId="2D6148D3" w14:textId="77777777" w:rsidR="00913DF5" w:rsidRPr="00576544" w:rsidRDefault="00913DF5" w:rsidP="00913DF5">
      <w:pPr>
        <w:tabs>
          <w:tab w:val="left" w:pos="851"/>
        </w:tabs>
        <w:ind w:left="851"/>
        <w:rPr>
          <w:sz w:val="24"/>
          <w:szCs w:val="24"/>
        </w:rPr>
      </w:pPr>
    </w:p>
    <w:p w14:paraId="083380F3" w14:textId="77777777" w:rsidR="00913DF5" w:rsidRPr="00576544" w:rsidRDefault="00913DF5" w:rsidP="00913DF5">
      <w:pPr>
        <w:tabs>
          <w:tab w:val="left" w:pos="851"/>
        </w:tabs>
        <w:ind w:left="851" w:hanging="851"/>
        <w:rPr>
          <w:b/>
          <w:sz w:val="24"/>
          <w:szCs w:val="24"/>
        </w:rPr>
      </w:pPr>
      <w:r w:rsidRPr="00576544">
        <w:rPr>
          <w:b/>
          <w:sz w:val="24"/>
          <w:szCs w:val="24"/>
        </w:rPr>
        <w:t>10.</w:t>
      </w:r>
      <w:r w:rsidRPr="00576544">
        <w:rPr>
          <w:b/>
          <w:sz w:val="24"/>
          <w:szCs w:val="24"/>
        </w:rPr>
        <w:tab/>
        <w:t>KLASSIFICERING AF VETERINÆRLÆGEMIDLER</w:t>
      </w:r>
    </w:p>
    <w:p w14:paraId="77B7C770" w14:textId="77777777" w:rsidR="00DA3E75" w:rsidRPr="00576544" w:rsidRDefault="00DA3E75" w:rsidP="00576544">
      <w:pPr>
        <w:ind w:left="851"/>
        <w:rPr>
          <w:sz w:val="24"/>
          <w:szCs w:val="24"/>
        </w:rPr>
      </w:pPr>
      <w:r w:rsidRPr="00576544">
        <w:rPr>
          <w:sz w:val="24"/>
          <w:szCs w:val="24"/>
        </w:rPr>
        <w:t>BP</w:t>
      </w:r>
    </w:p>
    <w:p w14:paraId="17EBE8B3" w14:textId="58C6BD9D" w:rsidR="00913DF5" w:rsidRPr="00576544" w:rsidRDefault="00DA3E75" w:rsidP="00576544">
      <w:pPr>
        <w:ind w:left="851"/>
        <w:rPr>
          <w:sz w:val="24"/>
          <w:szCs w:val="24"/>
        </w:rPr>
      </w:pPr>
      <w:bookmarkStart w:id="2" w:name="_Hlk73467306"/>
      <w:r w:rsidRPr="00576544">
        <w:rPr>
          <w:sz w:val="24"/>
          <w:szCs w:val="24"/>
        </w:rPr>
        <w:lastRenderedPageBreak/>
        <w:t>Der findes detaljerede oplysninger om dette veterinærlægemiddel i EU-lægemiddeldatabasen (https://medicines.health.europa.eu/veterinary).</w:t>
      </w:r>
      <w:bookmarkEnd w:id="2"/>
    </w:p>
    <w:sectPr w:rsidR="00913DF5" w:rsidRPr="0057654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CDE04" w14:textId="77777777" w:rsidR="009B6F8E" w:rsidRDefault="009B6F8E">
      <w:r>
        <w:separator/>
      </w:r>
    </w:p>
  </w:endnote>
  <w:endnote w:type="continuationSeparator" w:id="0">
    <w:p w14:paraId="47F871BD" w14:textId="77777777" w:rsidR="009B6F8E" w:rsidRDefault="009B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DB24" w14:textId="77777777" w:rsidR="004A62CC" w:rsidRDefault="004A62CC">
    <w:pPr>
      <w:pStyle w:val="Sidefod"/>
      <w:pBdr>
        <w:bottom w:val="single" w:sz="6" w:space="1" w:color="auto"/>
      </w:pBdr>
      <w:tabs>
        <w:tab w:val="clear" w:pos="4819"/>
        <w:tab w:val="left" w:pos="8647"/>
      </w:tabs>
      <w:rPr>
        <w:i/>
        <w:snapToGrid w:val="0"/>
        <w:sz w:val="18"/>
      </w:rPr>
    </w:pPr>
  </w:p>
  <w:p w14:paraId="271AACA7" w14:textId="77777777" w:rsidR="004A62CC" w:rsidRDefault="004A62CC">
    <w:pPr>
      <w:pStyle w:val="Sidefod"/>
      <w:tabs>
        <w:tab w:val="clear" w:pos="4819"/>
        <w:tab w:val="left" w:pos="8647"/>
      </w:tabs>
      <w:rPr>
        <w:i/>
        <w:snapToGrid w:val="0"/>
        <w:sz w:val="18"/>
      </w:rPr>
    </w:pPr>
  </w:p>
  <w:p w14:paraId="455E3B77" w14:textId="2E88C3D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6312B">
      <w:rPr>
        <w:i/>
        <w:noProof/>
        <w:snapToGrid w:val="0"/>
        <w:sz w:val="18"/>
      </w:rPr>
      <w:t>Vetmulin, opløsning til anvendelse i drikkevand 125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3211A" w14:textId="77777777" w:rsidR="004A62CC" w:rsidRDefault="004A62CC">
    <w:pPr>
      <w:pStyle w:val="Sidefod"/>
      <w:pBdr>
        <w:bottom w:val="single" w:sz="6" w:space="1" w:color="auto"/>
      </w:pBdr>
      <w:tabs>
        <w:tab w:val="clear" w:pos="4819"/>
        <w:tab w:val="left" w:pos="8647"/>
      </w:tabs>
      <w:rPr>
        <w:i/>
        <w:snapToGrid w:val="0"/>
        <w:sz w:val="18"/>
      </w:rPr>
    </w:pPr>
  </w:p>
  <w:p w14:paraId="0BD9CF9F" w14:textId="77777777" w:rsidR="004A62CC" w:rsidRDefault="004A62CC">
    <w:pPr>
      <w:pStyle w:val="Sidefod"/>
      <w:tabs>
        <w:tab w:val="clear" w:pos="4819"/>
        <w:tab w:val="left" w:pos="8647"/>
      </w:tabs>
      <w:rPr>
        <w:i/>
        <w:snapToGrid w:val="0"/>
        <w:sz w:val="18"/>
      </w:rPr>
    </w:pPr>
  </w:p>
  <w:p w14:paraId="3DFEACD3" w14:textId="2BB8C33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6312B">
      <w:rPr>
        <w:i/>
        <w:noProof/>
        <w:snapToGrid w:val="0"/>
        <w:sz w:val="18"/>
      </w:rPr>
      <w:t>Vetmulin, opløsning til anvendelse i drikkevand 125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CB518" w14:textId="77777777" w:rsidR="009B6F8E" w:rsidRDefault="009B6F8E">
      <w:r>
        <w:separator/>
      </w:r>
    </w:p>
  </w:footnote>
  <w:footnote w:type="continuationSeparator" w:id="0">
    <w:p w14:paraId="28057CE2" w14:textId="77777777" w:rsidR="009B6F8E" w:rsidRDefault="009B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E0B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BF2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41F"/>
    <w:multiLevelType w:val="hybridMultilevel"/>
    <w:tmpl w:val="808614FA"/>
    <w:lvl w:ilvl="0" w:tplc="3B967310">
      <w:numFmt w:val="bullet"/>
      <w:lvlText w:val="-"/>
      <w:lvlJc w:val="left"/>
      <w:pPr>
        <w:ind w:left="927" w:hanging="360"/>
      </w:pPr>
      <w:rPr>
        <w:rFonts w:ascii="Arial" w:eastAsiaTheme="minorHAnsi" w:hAnsi="Arial" w:cs="Arial"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1" w15:restartNumberingAfterBreak="0">
    <w:nsid w:val="111B678E"/>
    <w:multiLevelType w:val="hybridMultilevel"/>
    <w:tmpl w:val="F3E672D8"/>
    <w:lvl w:ilvl="0" w:tplc="3B967310">
      <w:numFmt w:val="bullet"/>
      <w:lvlText w:val="-"/>
      <w:lvlJc w:val="left"/>
      <w:pPr>
        <w:ind w:left="927" w:hanging="360"/>
      </w:pPr>
      <w:rPr>
        <w:rFonts w:ascii="Arial" w:eastAsiaTheme="minorHAnsi" w:hAnsi="Arial" w:cs="Arial"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E066D00"/>
    <w:multiLevelType w:val="multilevel"/>
    <w:tmpl w:val="7D744E80"/>
    <w:lvl w:ilvl="0">
      <w:numFmt w:val="bullet"/>
      <w:lvlText w:val="-"/>
      <w:lvlJc w:val="left"/>
      <w:pPr>
        <w:tabs>
          <w:tab w:val="num" w:pos="720"/>
        </w:tabs>
        <w:ind w:left="720" w:hanging="360"/>
      </w:pPr>
      <w:rPr>
        <w:rFonts w:ascii="Arial" w:eastAsiaTheme="minorHAnsi"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8E"/>
    <w:rsid w:val="0003527F"/>
    <w:rsid w:val="00065C7D"/>
    <w:rsid w:val="000C6CD4"/>
    <w:rsid w:val="001577E4"/>
    <w:rsid w:val="0016312B"/>
    <w:rsid w:val="001858CA"/>
    <w:rsid w:val="001C4AEF"/>
    <w:rsid w:val="001D3CC5"/>
    <w:rsid w:val="00250547"/>
    <w:rsid w:val="00322BDE"/>
    <w:rsid w:val="003F459E"/>
    <w:rsid w:val="00406EE7"/>
    <w:rsid w:val="00407013"/>
    <w:rsid w:val="004A62CC"/>
    <w:rsid w:val="00565A74"/>
    <w:rsid w:val="00576544"/>
    <w:rsid w:val="005B0036"/>
    <w:rsid w:val="005F5831"/>
    <w:rsid w:val="00662012"/>
    <w:rsid w:val="00666B01"/>
    <w:rsid w:val="006B1539"/>
    <w:rsid w:val="006D4B41"/>
    <w:rsid w:val="006F5621"/>
    <w:rsid w:val="007E2A00"/>
    <w:rsid w:val="008010F2"/>
    <w:rsid w:val="00913DF5"/>
    <w:rsid w:val="009202AE"/>
    <w:rsid w:val="00932676"/>
    <w:rsid w:val="009B6F8E"/>
    <w:rsid w:val="009D66C6"/>
    <w:rsid w:val="00A8537D"/>
    <w:rsid w:val="00A96525"/>
    <w:rsid w:val="00AE29E5"/>
    <w:rsid w:val="00AE5757"/>
    <w:rsid w:val="00B25EB8"/>
    <w:rsid w:val="00BC634B"/>
    <w:rsid w:val="00BF2AE0"/>
    <w:rsid w:val="00C479BF"/>
    <w:rsid w:val="00D567AA"/>
    <w:rsid w:val="00DA3E75"/>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B2436"/>
  <w15:chartTrackingRefBased/>
  <w15:docId w15:val="{745BC6E9-C9E5-405E-9A8D-3F9FE417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DA3E75"/>
    <w:pPr>
      <w:tabs>
        <w:tab w:val="left" w:pos="567"/>
      </w:tabs>
      <w:spacing w:line="260" w:lineRule="exact"/>
      <w:ind w:left="720"/>
      <w:contextualSpacing/>
    </w:pPr>
    <w:rPr>
      <w:sz w:val="22"/>
    </w:rPr>
  </w:style>
  <w:style w:type="table" w:styleId="Tabel-Gitter">
    <w:name w:val="Table Grid"/>
    <w:basedOn w:val="Tabel-Normal"/>
    <w:uiPriority w:val="39"/>
    <w:rsid w:val="00DA3E75"/>
    <w:rPr>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8951">
      <w:bodyDiv w:val="1"/>
      <w:marLeft w:val="0"/>
      <w:marRight w:val="0"/>
      <w:marTop w:val="0"/>
      <w:marBottom w:val="0"/>
      <w:divBdr>
        <w:top w:val="none" w:sz="0" w:space="0" w:color="auto"/>
        <w:left w:val="none" w:sz="0" w:space="0" w:color="auto"/>
        <w:bottom w:val="none" w:sz="0" w:space="0" w:color="auto"/>
        <w:right w:val="none" w:sz="0" w:space="0" w:color="auto"/>
      </w:divBdr>
    </w:div>
    <w:div w:id="14798549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6745468">
      <w:bodyDiv w:val="1"/>
      <w:marLeft w:val="0"/>
      <w:marRight w:val="0"/>
      <w:marTop w:val="0"/>
      <w:marBottom w:val="0"/>
      <w:divBdr>
        <w:top w:val="none" w:sz="0" w:space="0" w:color="auto"/>
        <w:left w:val="none" w:sz="0" w:space="0" w:color="auto"/>
        <w:bottom w:val="none" w:sz="0" w:space="0" w:color="auto"/>
        <w:right w:val="none" w:sz="0" w:space="0" w:color="auto"/>
      </w:divBdr>
    </w:div>
    <w:div w:id="259870764">
      <w:bodyDiv w:val="1"/>
      <w:marLeft w:val="0"/>
      <w:marRight w:val="0"/>
      <w:marTop w:val="0"/>
      <w:marBottom w:val="0"/>
      <w:divBdr>
        <w:top w:val="none" w:sz="0" w:space="0" w:color="auto"/>
        <w:left w:val="none" w:sz="0" w:space="0" w:color="auto"/>
        <w:bottom w:val="none" w:sz="0" w:space="0" w:color="auto"/>
        <w:right w:val="none" w:sz="0" w:space="0" w:color="auto"/>
      </w:divBdr>
    </w:div>
    <w:div w:id="398943952">
      <w:bodyDiv w:val="1"/>
      <w:marLeft w:val="0"/>
      <w:marRight w:val="0"/>
      <w:marTop w:val="0"/>
      <w:marBottom w:val="0"/>
      <w:divBdr>
        <w:top w:val="none" w:sz="0" w:space="0" w:color="auto"/>
        <w:left w:val="none" w:sz="0" w:space="0" w:color="auto"/>
        <w:bottom w:val="none" w:sz="0" w:space="0" w:color="auto"/>
        <w:right w:val="none" w:sz="0" w:space="0" w:color="auto"/>
      </w:divBdr>
    </w:div>
    <w:div w:id="455635207">
      <w:bodyDiv w:val="1"/>
      <w:marLeft w:val="0"/>
      <w:marRight w:val="0"/>
      <w:marTop w:val="0"/>
      <w:marBottom w:val="0"/>
      <w:divBdr>
        <w:top w:val="none" w:sz="0" w:space="0" w:color="auto"/>
        <w:left w:val="none" w:sz="0" w:space="0" w:color="auto"/>
        <w:bottom w:val="none" w:sz="0" w:space="0" w:color="auto"/>
        <w:right w:val="none" w:sz="0" w:space="0" w:color="auto"/>
      </w:divBdr>
    </w:div>
    <w:div w:id="643892139">
      <w:bodyDiv w:val="1"/>
      <w:marLeft w:val="0"/>
      <w:marRight w:val="0"/>
      <w:marTop w:val="0"/>
      <w:marBottom w:val="0"/>
      <w:divBdr>
        <w:top w:val="none" w:sz="0" w:space="0" w:color="auto"/>
        <w:left w:val="none" w:sz="0" w:space="0" w:color="auto"/>
        <w:bottom w:val="none" w:sz="0" w:space="0" w:color="auto"/>
        <w:right w:val="none" w:sz="0" w:space="0" w:color="auto"/>
      </w:divBdr>
    </w:div>
    <w:div w:id="651328012">
      <w:bodyDiv w:val="1"/>
      <w:marLeft w:val="0"/>
      <w:marRight w:val="0"/>
      <w:marTop w:val="0"/>
      <w:marBottom w:val="0"/>
      <w:divBdr>
        <w:top w:val="none" w:sz="0" w:space="0" w:color="auto"/>
        <w:left w:val="none" w:sz="0" w:space="0" w:color="auto"/>
        <w:bottom w:val="none" w:sz="0" w:space="0" w:color="auto"/>
        <w:right w:val="none" w:sz="0" w:space="0" w:color="auto"/>
      </w:divBdr>
    </w:div>
    <w:div w:id="718750145">
      <w:bodyDiv w:val="1"/>
      <w:marLeft w:val="0"/>
      <w:marRight w:val="0"/>
      <w:marTop w:val="0"/>
      <w:marBottom w:val="0"/>
      <w:divBdr>
        <w:top w:val="none" w:sz="0" w:space="0" w:color="auto"/>
        <w:left w:val="none" w:sz="0" w:space="0" w:color="auto"/>
        <w:bottom w:val="none" w:sz="0" w:space="0" w:color="auto"/>
        <w:right w:val="none" w:sz="0" w:space="0" w:color="auto"/>
      </w:divBdr>
    </w:div>
    <w:div w:id="736784072">
      <w:bodyDiv w:val="1"/>
      <w:marLeft w:val="0"/>
      <w:marRight w:val="0"/>
      <w:marTop w:val="0"/>
      <w:marBottom w:val="0"/>
      <w:divBdr>
        <w:top w:val="none" w:sz="0" w:space="0" w:color="auto"/>
        <w:left w:val="none" w:sz="0" w:space="0" w:color="auto"/>
        <w:bottom w:val="none" w:sz="0" w:space="0" w:color="auto"/>
        <w:right w:val="none" w:sz="0" w:space="0" w:color="auto"/>
      </w:divBdr>
    </w:div>
    <w:div w:id="804784993">
      <w:bodyDiv w:val="1"/>
      <w:marLeft w:val="0"/>
      <w:marRight w:val="0"/>
      <w:marTop w:val="0"/>
      <w:marBottom w:val="0"/>
      <w:divBdr>
        <w:top w:val="none" w:sz="0" w:space="0" w:color="auto"/>
        <w:left w:val="none" w:sz="0" w:space="0" w:color="auto"/>
        <w:bottom w:val="none" w:sz="0" w:space="0" w:color="auto"/>
        <w:right w:val="none" w:sz="0" w:space="0" w:color="auto"/>
      </w:divBdr>
    </w:div>
    <w:div w:id="975647210">
      <w:bodyDiv w:val="1"/>
      <w:marLeft w:val="0"/>
      <w:marRight w:val="0"/>
      <w:marTop w:val="0"/>
      <w:marBottom w:val="0"/>
      <w:divBdr>
        <w:top w:val="none" w:sz="0" w:space="0" w:color="auto"/>
        <w:left w:val="none" w:sz="0" w:space="0" w:color="auto"/>
        <w:bottom w:val="none" w:sz="0" w:space="0" w:color="auto"/>
        <w:right w:val="none" w:sz="0" w:space="0" w:color="auto"/>
      </w:divBdr>
    </w:div>
    <w:div w:id="1161578541">
      <w:bodyDiv w:val="1"/>
      <w:marLeft w:val="0"/>
      <w:marRight w:val="0"/>
      <w:marTop w:val="0"/>
      <w:marBottom w:val="0"/>
      <w:divBdr>
        <w:top w:val="none" w:sz="0" w:space="0" w:color="auto"/>
        <w:left w:val="none" w:sz="0" w:space="0" w:color="auto"/>
        <w:bottom w:val="none" w:sz="0" w:space="0" w:color="auto"/>
        <w:right w:val="none" w:sz="0" w:space="0" w:color="auto"/>
      </w:divBdr>
    </w:div>
    <w:div w:id="1222718029">
      <w:bodyDiv w:val="1"/>
      <w:marLeft w:val="0"/>
      <w:marRight w:val="0"/>
      <w:marTop w:val="0"/>
      <w:marBottom w:val="0"/>
      <w:divBdr>
        <w:top w:val="none" w:sz="0" w:space="0" w:color="auto"/>
        <w:left w:val="none" w:sz="0" w:space="0" w:color="auto"/>
        <w:bottom w:val="none" w:sz="0" w:space="0" w:color="auto"/>
        <w:right w:val="none" w:sz="0" w:space="0" w:color="auto"/>
      </w:divBdr>
    </w:div>
    <w:div w:id="1272980049">
      <w:bodyDiv w:val="1"/>
      <w:marLeft w:val="0"/>
      <w:marRight w:val="0"/>
      <w:marTop w:val="0"/>
      <w:marBottom w:val="0"/>
      <w:divBdr>
        <w:top w:val="none" w:sz="0" w:space="0" w:color="auto"/>
        <w:left w:val="none" w:sz="0" w:space="0" w:color="auto"/>
        <w:bottom w:val="none" w:sz="0" w:space="0" w:color="auto"/>
        <w:right w:val="none" w:sz="0" w:space="0" w:color="auto"/>
      </w:divBdr>
    </w:div>
    <w:div w:id="1453594109">
      <w:bodyDiv w:val="1"/>
      <w:marLeft w:val="0"/>
      <w:marRight w:val="0"/>
      <w:marTop w:val="0"/>
      <w:marBottom w:val="0"/>
      <w:divBdr>
        <w:top w:val="none" w:sz="0" w:space="0" w:color="auto"/>
        <w:left w:val="none" w:sz="0" w:space="0" w:color="auto"/>
        <w:bottom w:val="none" w:sz="0" w:space="0" w:color="auto"/>
        <w:right w:val="none" w:sz="0" w:space="0" w:color="auto"/>
      </w:divBdr>
    </w:div>
    <w:div w:id="1470367298">
      <w:bodyDiv w:val="1"/>
      <w:marLeft w:val="0"/>
      <w:marRight w:val="0"/>
      <w:marTop w:val="0"/>
      <w:marBottom w:val="0"/>
      <w:divBdr>
        <w:top w:val="none" w:sz="0" w:space="0" w:color="auto"/>
        <w:left w:val="none" w:sz="0" w:space="0" w:color="auto"/>
        <w:bottom w:val="none" w:sz="0" w:space="0" w:color="auto"/>
        <w:right w:val="none" w:sz="0" w:space="0" w:color="auto"/>
      </w:divBdr>
    </w:div>
    <w:div w:id="1472551791">
      <w:bodyDiv w:val="1"/>
      <w:marLeft w:val="0"/>
      <w:marRight w:val="0"/>
      <w:marTop w:val="0"/>
      <w:marBottom w:val="0"/>
      <w:divBdr>
        <w:top w:val="none" w:sz="0" w:space="0" w:color="auto"/>
        <w:left w:val="none" w:sz="0" w:space="0" w:color="auto"/>
        <w:bottom w:val="none" w:sz="0" w:space="0" w:color="auto"/>
        <w:right w:val="none" w:sz="0" w:space="0" w:color="auto"/>
      </w:divBdr>
    </w:div>
    <w:div w:id="1706368807">
      <w:bodyDiv w:val="1"/>
      <w:marLeft w:val="0"/>
      <w:marRight w:val="0"/>
      <w:marTop w:val="0"/>
      <w:marBottom w:val="0"/>
      <w:divBdr>
        <w:top w:val="none" w:sz="0" w:space="0" w:color="auto"/>
        <w:left w:val="none" w:sz="0" w:space="0" w:color="auto"/>
        <w:bottom w:val="none" w:sz="0" w:space="0" w:color="auto"/>
        <w:right w:val="none" w:sz="0" w:space="0" w:color="auto"/>
      </w:divBdr>
    </w:div>
    <w:div w:id="1723139494">
      <w:bodyDiv w:val="1"/>
      <w:marLeft w:val="0"/>
      <w:marRight w:val="0"/>
      <w:marTop w:val="0"/>
      <w:marBottom w:val="0"/>
      <w:divBdr>
        <w:top w:val="none" w:sz="0" w:space="0" w:color="auto"/>
        <w:left w:val="none" w:sz="0" w:space="0" w:color="auto"/>
        <w:bottom w:val="none" w:sz="0" w:space="0" w:color="auto"/>
        <w:right w:val="none" w:sz="0" w:space="0" w:color="auto"/>
      </w:divBdr>
    </w:div>
    <w:div w:id="1812207798">
      <w:bodyDiv w:val="1"/>
      <w:marLeft w:val="0"/>
      <w:marRight w:val="0"/>
      <w:marTop w:val="0"/>
      <w:marBottom w:val="0"/>
      <w:divBdr>
        <w:top w:val="none" w:sz="0" w:space="0" w:color="auto"/>
        <w:left w:val="none" w:sz="0" w:space="0" w:color="auto"/>
        <w:bottom w:val="none" w:sz="0" w:space="0" w:color="auto"/>
        <w:right w:val="none" w:sz="0" w:space="0" w:color="auto"/>
      </w:divBdr>
    </w:div>
    <w:div w:id="1816411708">
      <w:bodyDiv w:val="1"/>
      <w:marLeft w:val="0"/>
      <w:marRight w:val="0"/>
      <w:marTop w:val="0"/>
      <w:marBottom w:val="0"/>
      <w:divBdr>
        <w:top w:val="none" w:sz="0" w:space="0" w:color="auto"/>
        <w:left w:val="none" w:sz="0" w:space="0" w:color="auto"/>
        <w:bottom w:val="none" w:sz="0" w:space="0" w:color="auto"/>
        <w:right w:val="none" w:sz="0" w:space="0" w:color="auto"/>
      </w:divBdr>
    </w:div>
    <w:div w:id="1915119008">
      <w:bodyDiv w:val="1"/>
      <w:marLeft w:val="0"/>
      <w:marRight w:val="0"/>
      <w:marTop w:val="0"/>
      <w:marBottom w:val="0"/>
      <w:divBdr>
        <w:top w:val="none" w:sz="0" w:space="0" w:color="auto"/>
        <w:left w:val="none" w:sz="0" w:space="0" w:color="auto"/>
        <w:bottom w:val="none" w:sz="0" w:space="0" w:color="auto"/>
        <w:right w:val="none" w:sz="0" w:space="0" w:color="auto"/>
      </w:divBdr>
    </w:div>
    <w:div w:id="1937857349">
      <w:bodyDiv w:val="1"/>
      <w:marLeft w:val="0"/>
      <w:marRight w:val="0"/>
      <w:marTop w:val="0"/>
      <w:marBottom w:val="0"/>
      <w:divBdr>
        <w:top w:val="none" w:sz="0" w:space="0" w:color="auto"/>
        <w:left w:val="none" w:sz="0" w:space="0" w:color="auto"/>
        <w:bottom w:val="none" w:sz="0" w:space="0" w:color="auto"/>
        <w:right w:val="none" w:sz="0" w:space="0" w:color="auto"/>
      </w:divBdr>
    </w:div>
    <w:div w:id="1955821776">
      <w:bodyDiv w:val="1"/>
      <w:marLeft w:val="0"/>
      <w:marRight w:val="0"/>
      <w:marTop w:val="0"/>
      <w:marBottom w:val="0"/>
      <w:divBdr>
        <w:top w:val="none" w:sz="0" w:space="0" w:color="auto"/>
        <w:left w:val="none" w:sz="0" w:space="0" w:color="auto"/>
        <w:bottom w:val="none" w:sz="0" w:space="0" w:color="auto"/>
        <w:right w:val="none" w:sz="0" w:space="0" w:color="auto"/>
      </w:divBdr>
    </w:div>
    <w:div w:id="1960642649">
      <w:bodyDiv w:val="1"/>
      <w:marLeft w:val="0"/>
      <w:marRight w:val="0"/>
      <w:marTop w:val="0"/>
      <w:marBottom w:val="0"/>
      <w:divBdr>
        <w:top w:val="none" w:sz="0" w:space="0" w:color="auto"/>
        <w:left w:val="none" w:sz="0" w:space="0" w:color="auto"/>
        <w:bottom w:val="none" w:sz="0" w:space="0" w:color="auto"/>
        <w:right w:val="none" w:sz="0" w:space="0" w:color="auto"/>
      </w:divBdr>
    </w:div>
    <w:div w:id="210456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2422</Words>
  <Characters>15996</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2024022337, var. 5, G.I.18, QRD9</dc:description>
  <cp:lastModifiedBy>Gitte Jørgensen</cp:lastModifiedBy>
  <cp:revision>6</cp:revision>
  <dcterms:created xsi:type="dcterms:W3CDTF">2025-03-21T10:07:00Z</dcterms:created>
  <dcterms:modified xsi:type="dcterms:W3CDTF">2025-03-24T07:24:00Z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