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0BF" w:rsidRDefault="004000A7" w:rsidP="00B320BF">
      <w:pPr>
        <w:tabs>
          <w:tab w:val="left" w:pos="6804"/>
        </w:tabs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BF" w:rsidRDefault="00B320BF" w:rsidP="00B320BF">
      <w:pPr>
        <w:tabs>
          <w:tab w:val="left" w:pos="6804"/>
        </w:tabs>
        <w:rPr>
          <w:b/>
        </w:rPr>
      </w:pPr>
    </w:p>
    <w:p w:rsidR="00B320BF" w:rsidRPr="004000A7" w:rsidRDefault="00E1036B" w:rsidP="00B320BF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320BF" w:rsidRPr="004000A7">
        <w:rPr>
          <w:b/>
          <w:sz w:val="24"/>
          <w:szCs w:val="24"/>
        </w:rPr>
        <w:t xml:space="preserve">. </w:t>
      </w:r>
      <w:r w:rsidR="00BA0C98">
        <w:rPr>
          <w:b/>
          <w:sz w:val="24"/>
          <w:szCs w:val="24"/>
        </w:rPr>
        <w:t>ma</w:t>
      </w:r>
      <w:r w:rsidR="00A50F61">
        <w:rPr>
          <w:b/>
          <w:sz w:val="24"/>
          <w:szCs w:val="24"/>
        </w:rPr>
        <w:t>j</w:t>
      </w:r>
      <w:r w:rsidR="00B320BF" w:rsidRPr="004000A7">
        <w:rPr>
          <w:b/>
          <w:sz w:val="24"/>
          <w:szCs w:val="24"/>
        </w:rPr>
        <w:t xml:space="preserve"> 20</w:t>
      </w:r>
      <w:r w:rsidR="004000A7">
        <w:rPr>
          <w:b/>
          <w:sz w:val="24"/>
          <w:szCs w:val="24"/>
        </w:rPr>
        <w:t>2</w:t>
      </w:r>
      <w:r w:rsidR="00BA0C98">
        <w:rPr>
          <w:b/>
          <w:sz w:val="24"/>
          <w:szCs w:val="24"/>
        </w:rPr>
        <w:t>3</w:t>
      </w:r>
    </w:p>
    <w:p w:rsidR="00B320BF" w:rsidRDefault="00B320BF" w:rsidP="00B320BF">
      <w:pPr>
        <w:tabs>
          <w:tab w:val="left" w:pos="8222"/>
        </w:tabs>
        <w:rPr>
          <w:sz w:val="24"/>
          <w:szCs w:val="24"/>
        </w:rPr>
      </w:pPr>
    </w:p>
    <w:p w:rsidR="00B320BF" w:rsidRDefault="00B320BF" w:rsidP="00B320BF">
      <w:pPr>
        <w:tabs>
          <w:tab w:val="left" w:pos="8222"/>
        </w:tabs>
        <w:rPr>
          <w:sz w:val="24"/>
          <w:szCs w:val="24"/>
        </w:rPr>
      </w:pPr>
    </w:p>
    <w:p w:rsidR="00B320BF" w:rsidRDefault="00B320BF" w:rsidP="00B320BF">
      <w:pPr>
        <w:tabs>
          <w:tab w:val="left" w:pos="8222"/>
        </w:tabs>
        <w:rPr>
          <w:sz w:val="24"/>
          <w:szCs w:val="24"/>
        </w:rPr>
      </w:pPr>
    </w:p>
    <w:p w:rsidR="00B320BF" w:rsidRDefault="00B320BF" w:rsidP="00B320BF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:rsidR="00B320BF" w:rsidRDefault="00B320BF" w:rsidP="00B320B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320BF" w:rsidRDefault="00B320BF" w:rsidP="00B320BF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:rsidR="00B320BF" w:rsidRDefault="00B320BF" w:rsidP="00B320B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320BF" w:rsidRDefault="00B320BF" w:rsidP="00B320BF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Vetrimoxin</w:t>
      </w:r>
      <w:proofErr w:type="spellEnd"/>
      <w:r>
        <w:rPr>
          <w:b/>
          <w:sz w:val="24"/>
          <w:szCs w:val="24"/>
        </w:rPr>
        <w:t xml:space="preserve"> L.A., injektionsvæske, suspension</w:t>
      </w:r>
    </w:p>
    <w:p w:rsidR="00B320BF" w:rsidRDefault="00B320BF" w:rsidP="00B320BF">
      <w:pPr>
        <w:tabs>
          <w:tab w:val="left" w:pos="8222"/>
        </w:tabs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0.</w:t>
      </w:r>
      <w:r w:rsidRPr="00FF4DD9">
        <w:rPr>
          <w:b/>
          <w:sz w:val="24"/>
          <w:szCs w:val="24"/>
        </w:rPr>
        <w:tab/>
        <w:t>D.SP.NR</w:t>
      </w:r>
    </w:p>
    <w:p w:rsidR="00B320BF" w:rsidRPr="00FF4DD9" w:rsidRDefault="00B320BF" w:rsidP="00B320BF">
      <w:pPr>
        <w:ind w:left="851"/>
        <w:jc w:val="both"/>
        <w:rPr>
          <w:sz w:val="24"/>
          <w:szCs w:val="24"/>
        </w:rPr>
      </w:pPr>
      <w:r w:rsidRPr="00FF4DD9">
        <w:rPr>
          <w:sz w:val="24"/>
          <w:szCs w:val="24"/>
        </w:rPr>
        <w:t>28517</w:t>
      </w: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1.</w:t>
      </w:r>
      <w:r w:rsidRPr="00FF4DD9">
        <w:rPr>
          <w:b/>
          <w:sz w:val="24"/>
          <w:szCs w:val="24"/>
        </w:rPr>
        <w:tab/>
        <w:t>VETERINÆRLÆGEMIDLETS NAVN</w:t>
      </w:r>
    </w:p>
    <w:p w:rsidR="00B320BF" w:rsidRPr="00FF4DD9" w:rsidRDefault="00B320BF" w:rsidP="00B320BF">
      <w:pPr>
        <w:ind w:left="851"/>
        <w:jc w:val="both"/>
        <w:rPr>
          <w:sz w:val="24"/>
          <w:szCs w:val="24"/>
        </w:rPr>
      </w:pPr>
      <w:proofErr w:type="spellStart"/>
      <w:r w:rsidRPr="00FF4DD9">
        <w:rPr>
          <w:sz w:val="24"/>
          <w:szCs w:val="24"/>
        </w:rPr>
        <w:t>Vetrimoxin</w:t>
      </w:r>
      <w:proofErr w:type="spellEnd"/>
      <w:r w:rsidRPr="00FF4DD9">
        <w:rPr>
          <w:sz w:val="24"/>
          <w:szCs w:val="24"/>
        </w:rPr>
        <w:t xml:space="preserve"> L.A.</w:t>
      </w: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2.</w:t>
      </w:r>
      <w:r w:rsidRPr="00FF4DD9">
        <w:rPr>
          <w:b/>
          <w:sz w:val="24"/>
          <w:szCs w:val="24"/>
        </w:rPr>
        <w:tab/>
        <w:t>KVALITATIV OG KVANTITATIV SAMMENSÆTNING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Hver ml indeholder:</w:t>
      </w: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</w:p>
    <w:p w:rsidR="00B320BF" w:rsidRPr="00FF4DD9" w:rsidRDefault="00B320BF" w:rsidP="00B320BF">
      <w:pPr>
        <w:ind w:left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Aktiv</w:t>
      </w:r>
      <w:r>
        <w:rPr>
          <w:b/>
          <w:sz w:val="24"/>
          <w:szCs w:val="24"/>
        </w:rPr>
        <w:t>t</w:t>
      </w:r>
      <w:r w:rsidRPr="00FF4DD9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tof</w:t>
      </w:r>
      <w:r w:rsidRPr="00FF4DD9">
        <w:rPr>
          <w:b/>
          <w:sz w:val="24"/>
          <w:szCs w:val="24"/>
        </w:rPr>
        <w:t>: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150 mg </w:t>
      </w:r>
      <w:proofErr w:type="spellStart"/>
      <w:r>
        <w:rPr>
          <w:sz w:val="24"/>
          <w:szCs w:val="24"/>
        </w:rPr>
        <w:t>amoxicillin</w:t>
      </w:r>
      <w:proofErr w:type="spellEnd"/>
      <w:r>
        <w:rPr>
          <w:sz w:val="24"/>
          <w:szCs w:val="24"/>
        </w:rPr>
        <w:t xml:space="preserve"> </w:t>
      </w:r>
      <w:r w:rsidRPr="00FF4DD9">
        <w:rPr>
          <w:sz w:val="24"/>
          <w:szCs w:val="24"/>
        </w:rPr>
        <w:t>som trihydrat</w:t>
      </w:r>
      <w:r>
        <w:rPr>
          <w:sz w:val="24"/>
          <w:szCs w:val="24"/>
        </w:rPr>
        <w:t>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Alle hjælpestoffer er anført under </w:t>
      </w:r>
      <w:r w:rsidRPr="00FF4DD9">
        <w:rPr>
          <w:sz w:val="24"/>
          <w:szCs w:val="24"/>
        </w:rPr>
        <w:t>pkt. 6.1.</w:t>
      </w: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3.</w:t>
      </w:r>
      <w:r w:rsidRPr="00FF4DD9">
        <w:rPr>
          <w:b/>
          <w:sz w:val="24"/>
          <w:szCs w:val="24"/>
        </w:rPr>
        <w:tab/>
        <w:t>LÆGEMIDDELFORM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Injektionsvæske, </w:t>
      </w:r>
      <w:r>
        <w:rPr>
          <w:sz w:val="24"/>
          <w:szCs w:val="24"/>
        </w:rPr>
        <w:t>suspension.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Creme- til beigefarvet opløsning</w:t>
      </w:r>
      <w:r>
        <w:rPr>
          <w:sz w:val="24"/>
          <w:szCs w:val="24"/>
        </w:rPr>
        <w:t>.</w:t>
      </w: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4.</w:t>
      </w:r>
      <w:r w:rsidRPr="00FF4DD9">
        <w:rPr>
          <w:b/>
          <w:sz w:val="24"/>
          <w:szCs w:val="24"/>
        </w:rPr>
        <w:tab/>
        <w:t>KLINISKE OPLYSNINGER</w:t>
      </w: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  <w:u w:val="single"/>
        </w:rPr>
      </w:pPr>
      <w:r w:rsidRPr="00FF4DD9">
        <w:rPr>
          <w:b/>
          <w:sz w:val="24"/>
          <w:szCs w:val="24"/>
        </w:rPr>
        <w:t>4.1</w:t>
      </w:r>
      <w:r w:rsidRPr="00FF4DD9">
        <w:rPr>
          <w:b/>
          <w:sz w:val="24"/>
          <w:szCs w:val="24"/>
        </w:rPr>
        <w:tab/>
        <w:t>Dyrearter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Kvæg og svin</w:t>
      </w:r>
      <w:r>
        <w:rPr>
          <w:sz w:val="24"/>
          <w:szCs w:val="24"/>
        </w:rPr>
        <w:t>.</w:t>
      </w: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F4DD9">
        <w:rPr>
          <w:b/>
          <w:szCs w:val="24"/>
        </w:rPr>
        <w:t>4.2</w:t>
      </w:r>
      <w:r w:rsidRPr="00FF4DD9">
        <w:rPr>
          <w:b/>
          <w:szCs w:val="24"/>
        </w:rPr>
        <w:tab/>
        <w:t>Terapeutiske indikationer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Kvæg: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Behandling af</w:t>
      </w:r>
      <w:r>
        <w:rPr>
          <w:sz w:val="24"/>
          <w:szCs w:val="24"/>
        </w:rPr>
        <w:t xml:space="preserve"> l</w:t>
      </w:r>
      <w:r w:rsidRPr="00FF4DD9">
        <w:rPr>
          <w:sz w:val="24"/>
          <w:szCs w:val="24"/>
        </w:rPr>
        <w:t xml:space="preserve">uftvejsinfektioner forårsaget af </w:t>
      </w:r>
      <w:proofErr w:type="spellStart"/>
      <w:r w:rsidRPr="00FF4DD9">
        <w:rPr>
          <w:sz w:val="24"/>
          <w:szCs w:val="24"/>
        </w:rPr>
        <w:t>amoxicillinfølsomme</w:t>
      </w:r>
      <w:proofErr w:type="spellEnd"/>
      <w:r w:rsidRPr="00FF4DD9">
        <w:rPr>
          <w:sz w:val="24"/>
          <w:szCs w:val="24"/>
        </w:rPr>
        <w:t xml:space="preserve"> stammer af </w:t>
      </w:r>
      <w:proofErr w:type="spellStart"/>
      <w:r w:rsidRPr="00FF4DD9">
        <w:rPr>
          <w:i/>
          <w:sz w:val="24"/>
          <w:szCs w:val="24"/>
        </w:rPr>
        <w:t>Mannheimia</w:t>
      </w:r>
      <w:proofErr w:type="spellEnd"/>
      <w:r w:rsidRPr="00FF4DD9">
        <w:rPr>
          <w:i/>
          <w:sz w:val="24"/>
          <w:szCs w:val="24"/>
        </w:rPr>
        <w:t xml:space="preserve"> </w:t>
      </w:r>
      <w:proofErr w:type="spellStart"/>
      <w:r w:rsidRPr="00FF4DD9">
        <w:rPr>
          <w:i/>
          <w:sz w:val="24"/>
          <w:szCs w:val="24"/>
        </w:rPr>
        <w:t>haemolytica</w:t>
      </w:r>
      <w:proofErr w:type="spellEnd"/>
      <w:r w:rsidRPr="00FF4DD9">
        <w:rPr>
          <w:i/>
          <w:sz w:val="24"/>
          <w:szCs w:val="24"/>
        </w:rPr>
        <w:t xml:space="preserve"> </w:t>
      </w:r>
      <w:r w:rsidRPr="00FF4DD9">
        <w:rPr>
          <w:sz w:val="24"/>
          <w:szCs w:val="24"/>
        </w:rPr>
        <w:t xml:space="preserve">og </w:t>
      </w:r>
      <w:proofErr w:type="spellStart"/>
      <w:r w:rsidRPr="00FF4DD9">
        <w:rPr>
          <w:i/>
          <w:sz w:val="24"/>
          <w:szCs w:val="24"/>
        </w:rPr>
        <w:t>Pasteurella</w:t>
      </w:r>
      <w:proofErr w:type="spellEnd"/>
      <w:r w:rsidRPr="00FF4DD9">
        <w:rPr>
          <w:i/>
          <w:sz w:val="24"/>
          <w:szCs w:val="24"/>
        </w:rPr>
        <w:t xml:space="preserve"> </w:t>
      </w:r>
      <w:proofErr w:type="spellStart"/>
      <w:r w:rsidRPr="00FF4DD9">
        <w:rPr>
          <w:i/>
          <w:sz w:val="24"/>
          <w:szCs w:val="24"/>
        </w:rPr>
        <w:t>multocida</w:t>
      </w:r>
      <w:proofErr w:type="spellEnd"/>
      <w:r w:rsidRPr="00FF4DD9">
        <w:rPr>
          <w:i/>
          <w:sz w:val="24"/>
          <w:szCs w:val="24"/>
        </w:rPr>
        <w:t>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Svin:</w:t>
      </w:r>
    </w:p>
    <w:p w:rsidR="00B320BF" w:rsidRPr="00FF4DD9" w:rsidRDefault="00B320BF" w:rsidP="00B320BF">
      <w:pPr>
        <w:ind w:left="851"/>
        <w:rPr>
          <w:b/>
          <w:sz w:val="24"/>
          <w:szCs w:val="24"/>
        </w:rPr>
      </w:pPr>
      <w:r w:rsidRPr="00FF4DD9">
        <w:rPr>
          <w:sz w:val="24"/>
          <w:szCs w:val="24"/>
        </w:rPr>
        <w:t>Behandling af</w:t>
      </w:r>
      <w:r>
        <w:rPr>
          <w:sz w:val="24"/>
          <w:szCs w:val="24"/>
        </w:rPr>
        <w:t xml:space="preserve"> l</w:t>
      </w:r>
      <w:r w:rsidRPr="00FF4DD9">
        <w:rPr>
          <w:sz w:val="24"/>
          <w:szCs w:val="24"/>
        </w:rPr>
        <w:t xml:space="preserve">uftvejsinfektioner forårsaget af </w:t>
      </w:r>
      <w:proofErr w:type="spellStart"/>
      <w:r w:rsidRPr="00FF4DD9">
        <w:rPr>
          <w:sz w:val="24"/>
          <w:szCs w:val="24"/>
        </w:rPr>
        <w:t>amoxicillinfølsomme</w:t>
      </w:r>
      <w:proofErr w:type="spellEnd"/>
      <w:r w:rsidRPr="00FF4DD9">
        <w:rPr>
          <w:sz w:val="24"/>
          <w:szCs w:val="24"/>
        </w:rPr>
        <w:t xml:space="preserve"> stammer af </w:t>
      </w:r>
      <w:proofErr w:type="spellStart"/>
      <w:r w:rsidRPr="00FF4DD9">
        <w:rPr>
          <w:i/>
          <w:sz w:val="24"/>
          <w:szCs w:val="24"/>
        </w:rPr>
        <w:t>Pasteurella</w:t>
      </w:r>
      <w:proofErr w:type="spellEnd"/>
      <w:r w:rsidRPr="00FF4DD9">
        <w:rPr>
          <w:i/>
          <w:sz w:val="24"/>
          <w:szCs w:val="24"/>
        </w:rPr>
        <w:t xml:space="preserve"> </w:t>
      </w:r>
      <w:proofErr w:type="spellStart"/>
      <w:r w:rsidRPr="00FF4DD9">
        <w:rPr>
          <w:i/>
          <w:sz w:val="24"/>
          <w:szCs w:val="24"/>
        </w:rPr>
        <w:t>multocida</w:t>
      </w:r>
      <w:proofErr w:type="spellEnd"/>
      <w:r w:rsidRPr="00FF4DD9">
        <w:rPr>
          <w:i/>
          <w:sz w:val="24"/>
          <w:szCs w:val="24"/>
        </w:rPr>
        <w:t>.</w:t>
      </w:r>
    </w:p>
    <w:p w:rsidR="00B320BF" w:rsidRPr="00FF4DD9" w:rsidRDefault="00B320BF" w:rsidP="00B320BF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B320BF" w:rsidRPr="00FF4DD9" w:rsidRDefault="00B320BF" w:rsidP="00B320BF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F4DD9">
        <w:rPr>
          <w:b/>
          <w:szCs w:val="24"/>
        </w:rPr>
        <w:t>4.3</w:t>
      </w:r>
      <w:r w:rsidRPr="00FF4DD9">
        <w:rPr>
          <w:b/>
          <w:szCs w:val="24"/>
        </w:rPr>
        <w:tab/>
        <w:t>Kontraindikationer</w:t>
      </w:r>
    </w:p>
    <w:p w:rsidR="00B320BF" w:rsidRPr="00FF4DD9" w:rsidRDefault="00B320BF" w:rsidP="00B320BF">
      <w:pPr>
        <w:pStyle w:val="Sidehoved"/>
        <w:tabs>
          <w:tab w:val="clear" w:pos="4819"/>
          <w:tab w:val="clear" w:pos="9638"/>
        </w:tabs>
        <w:ind w:left="851"/>
        <w:rPr>
          <w:b/>
          <w:szCs w:val="24"/>
        </w:rPr>
      </w:pPr>
      <w:r w:rsidRPr="00FF4DD9">
        <w:rPr>
          <w:szCs w:val="24"/>
        </w:rPr>
        <w:t xml:space="preserve">Må ikke anvendes i tilfælde af kendt overfølsomhed over for penicilliner, </w:t>
      </w:r>
      <w:proofErr w:type="spellStart"/>
      <w:r w:rsidRPr="00FF4DD9">
        <w:rPr>
          <w:szCs w:val="24"/>
        </w:rPr>
        <w:t>cephalosporiner</w:t>
      </w:r>
      <w:proofErr w:type="spellEnd"/>
      <w:r w:rsidRPr="00FF4DD9">
        <w:rPr>
          <w:szCs w:val="24"/>
        </w:rPr>
        <w:t xml:space="preserve"> eller et eller flere af hjælpestofferne. 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lastRenderedPageBreak/>
        <w:t xml:space="preserve">Må ikke anvendes i tilfælde af alvorlig nyredysfunktion med </w:t>
      </w:r>
      <w:proofErr w:type="spellStart"/>
      <w:r w:rsidRPr="00FF4DD9">
        <w:rPr>
          <w:sz w:val="24"/>
          <w:szCs w:val="24"/>
        </w:rPr>
        <w:t>anuri</w:t>
      </w:r>
      <w:proofErr w:type="spellEnd"/>
      <w:r w:rsidRPr="00FF4DD9">
        <w:rPr>
          <w:sz w:val="24"/>
          <w:szCs w:val="24"/>
        </w:rPr>
        <w:t xml:space="preserve"> og </w:t>
      </w:r>
      <w:proofErr w:type="spellStart"/>
      <w:r w:rsidRPr="00FF4DD9">
        <w:rPr>
          <w:sz w:val="24"/>
          <w:szCs w:val="24"/>
        </w:rPr>
        <w:t>oli</w:t>
      </w:r>
      <w:r>
        <w:rPr>
          <w:sz w:val="24"/>
          <w:szCs w:val="24"/>
        </w:rPr>
        <w:t>g</w:t>
      </w:r>
      <w:r w:rsidRPr="00FF4DD9">
        <w:rPr>
          <w:sz w:val="24"/>
          <w:szCs w:val="24"/>
        </w:rPr>
        <w:t>uri</w:t>
      </w:r>
      <w:proofErr w:type="spellEnd"/>
      <w:r w:rsidRPr="00FF4DD9">
        <w:rPr>
          <w:sz w:val="24"/>
          <w:szCs w:val="24"/>
        </w:rPr>
        <w:t>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Må ikke anvendes i tilfælde af infektion med beta-</w:t>
      </w:r>
      <w:proofErr w:type="spellStart"/>
      <w:r w:rsidRPr="00FF4DD9">
        <w:rPr>
          <w:sz w:val="24"/>
          <w:szCs w:val="24"/>
        </w:rPr>
        <w:t>lactamase</w:t>
      </w:r>
      <w:proofErr w:type="spellEnd"/>
      <w:r w:rsidRPr="00FF4DD9">
        <w:rPr>
          <w:sz w:val="24"/>
          <w:szCs w:val="24"/>
        </w:rPr>
        <w:t>-producerende bakterier.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Må ikke anvendes til kaniner, harer, hamstere, marsvin eller andre små gnavere.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Må ikke gives til dyr af hesteslægten, da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opløsning til – som alle aminopenicilliner – kan påvirke bakteriefloraen negativt i blindtarmen.</w:t>
      </w:r>
    </w:p>
    <w:p w:rsidR="00B320BF" w:rsidRPr="00FF4DD9" w:rsidRDefault="00B320BF" w:rsidP="00B320BF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4.4</w:t>
      </w:r>
      <w:r w:rsidRPr="00FF4DD9">
        <w:rPr>
          <w:b/>
          <w:sz w:val="24"/>
          <w:szCs w:val="24"/>
        </w:rPr>
        <w:tab/>
        <w:t>Særlige advarsler</w:t>
      </w: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sz w:val="24"/>
          <w:szCs w:val="24"/>
        </w:rPr>
        <w:tab/>
        <w:t>Ingen</w:t>
      </w:r>
      <w:r>
        <w:rPr>
          <w:sz w:val="24"/>
          <w:szCs w:val="24"/>
        </w:rPr>
        <w:t>.</w:t>
      </w:r>
    </w:p>
    <w:p w:rsidR="00B320BF" w:rsidRPr="00FF4DD9" w:rsidRDefault="00B320BF" w:rsidP="00B320BF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4.5</w:t>
      </w:r>
      <w:r w:rsidRPr="00FF4DD9">
        <w:rPr>
          <w:b/>
          <w:sz w:val="24"/>
          <w:szCs w:val="24"/>
        </w:rPr>
        <w:tab/>
        <w:t>Særlige forsigtighedsregler vedrørende brugen</w:t>
      </w: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ab/>
      </w: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ab/>
        <w:t>Særlige forsigtighedsregler for dyret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 xml:space="preserve">Brug af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bør baseres på </w:t>
      </w:r>
      <w:r>
        <w:rPr>
          <w:sz w:val="24"/>
          <w:szCs w:val="24"/>
        </w:rPr>
        <w:t xml:space="preserve">en bakteriel </w:t>
      </w:r>
      <w:r w:rsidRPr="00FF4DD9">
        <w:rPr>
          <w:sz w:val="24"/>
          <w:szCs w:val="24"/>
        </w:rPr>
        <w:t>følsomhedstest, og officielle nationale og regionale antimikrobielle anbefalinger bør tages i betragtning.</w:t>
      </w:r>
      <w:r w:rsidRPr="00FF4DD9" w:rsidDel="00AE1234">
        <w:rPr>
          <w:sz w:val="24"/>
          <w:szCs w:val="24"/>
        </w:rPr>
        <w:t xml:space="preserve"> 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Anvendelse af præparatet, der adskiller sig fra instruktionen angivet i produktresuméet, kan øge forekomsten af bakterieresistens overfor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og kan nedsætte effekten af behandling med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på grund af mulig krydsresistens.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sz w:val="24"/>
          <w:szCs w:val="24"/>
        </w:rPr>
        <w:tab/>
      </w:r>
      <w:r w:rsidRPr="00FF4DD9">
        <w:rPr>
          <w:b/>
          <w:sz w:val="24"/>
          <w:szCs w:val="24"/>
        </w:rPr>
        <w:t>Særlige forsigtighedsregler for personer, der administrerer lægemidlet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 xml:space="preserve">I tilfælde af selvinjektion ved hændeligt uheld, inhalation eller absorption gennem huden kan penicilliner og </w:t>
      </w:r>
      <w:proofErr w:type="spellStart"/>
      <w:r w:rsidRPr="00FF4DD9">
        <w:rPr>
          <w:sz w:val="24"/>
          <w:szCs w:val="24"/>
        </w:rPr>
        <w:t>cephalosporiner</w:t>
      </w:r>
      <w:proofErr w:type="spellEnd"/>
      <w:r w:rsidRPr="00FF4DD9">
        <w:rPr>
          <w:sz w:val="24"/>
          <w:szCs w:val="24"/>
        </w:rPr>
        <w:t xml:space="preserve"> forårsage overfølsomhedsreaktion, der kan være livstruende. Overfølsomhed over for penicilliner kan medføre krydsreaktion med </w:t>
      </w:r>
      <w:proofErr w:type="spellStart"/>
      <w:r w:rsidRPr="00FF4DD9">
        <w:rPr>
          <w:sz w:val="24"/>
          <w:szCs w:val="24"/>
        </w:rPr>
        <w:t>cephalosporiner</w:t>
      </w:r>
      <w:proofErr w:type="spellEnd"/>
      <w:r w:rsidRPr="00FF4DD9">
        <w:rPr>
          <w:sz w:val="24"/>
          <w:szCs w:val="24"/>
        </w:rPr>
        <w:t xml:space="preserve"> </w:t>
      </w:r>
      <w:r>
        <w:rPr>
          <w:sz w:val="24"/>
          <w:szCs w:val="24"/>
        </w:rPr>
        <w:t>og</w:t>
      </w:r>
      <w:r w:rsidRPr="00FF4DD9">
        <w:rPr>
          <w:sz w:val="24"/>
          <w:szCs w:val="24"/>
        </w:rPr>
        <w:t xml:space="preserve"> vice versa. Undgå direkte kontakt med huden og på slimhinder med lægemidlet.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Vær forsigtig ved håndtering af lægemidlet, så kontakt undgås.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Personligt beskyttelsesudstyr i form af handsker bør anvendes ved håndtering af lægemidlet. 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Vask hænder efter håndtering af lægemidlet.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I tilfælde af kontakt med huden eller øjne, skyl straks med rigeligt vand.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Undgå at ryge, spise eller drikke mens lægemidlet håndteres.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Hvis der efter håndtering af lægemidlet udvikles symptomer, som rødme af huden, bør lægehjælp straks søges, og indlægssedlen eller etiketten bør vises til lægen. Hævelser i ansigtet, læber og øjne eller åndedrætsbesvær er alvorligere symptomer og kræver øjeblikkelig lægehjælp.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sz w:val="24"/>
          <w:szCs w:val="24"/>
        </w:rPr>
        <w:tab/>
      </w:r>
      <w:r w:rsidRPr="00FF4DD9">
        <w:rPr>
          <w:b/>
          <w:sz w:val="24"/>
          <w:szCs w:val="24"/>
        </w:rPr>
        <w:t>Andre forsigtighedsregler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</w:r>
      <w:r>
        <w:rPr>
          <w:sz w:val="24"/>
          <w:szCs w:val="24"/>
        </w:rPr>
        <w:t>Ingen.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4.6</w:t>
      </w:r>
      <w:r w:rsidRPr="00FF4DD9">
        <w:rPr>
          <w:b/>
          <w:sz w:val="24"/>
          <w:szCs w:val="24"/>
        </w:rPr>
        <w:tab/>
        <w:t>Bivirkninger</w:t>
      </w: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sz w:val="24"/>
          <w:szCs w:val="24"/>
        </w:rPr>
        <w:tab/>
        <w:t xml:space="preserve">Overfølsomhedsreaktioner varierer i sværhedsgrad fra lettere hudreaktion som </w:t>
      </w:r>
      <w:proofErr w:type="spellStart"/>
      <w:r>
        <w:rPr>
          <w:sz w:val="24"/>
          <w:szCs w:val="24"/>
        </w:rPr>
        <w:t>urticaria</w:t>
      </w:r>
      <w:proofErr w:type="spellEnd"/>
      <w:r w:rsidRPr="00FF4DD9">
        <w:rPr>
          <w:sz w:val="24"/>
          <w:szCs w:val="24"/>
        </w:rPr>
        <w:t xml:space="preserve"> til </w:t>
      </w:r>
      <w:proofErr w:type="spellStart"/>
      <w:r w:rsidRPr="00FF4DD9">
        <w:rPr>
          <w:sz w:val="24"/>
          <w:szCs w:val="24"/>
        </w:rPr>
        <w:t>anafylaktisk</w:t>
      </w:r>
      <w:proofErr w:type="spellEnd"/>
      <w:r w:rsidRPr="00FF4DD9">
        <w:rPr>
          <w:sz w:val="24"/>
          <w:szCs w:val="24"/>
        </w:rPr>
        <w:t xml:space="preserve"> </w:t>
      </w:r>
      <w:proofErr w:type="spellStart"/>
      <w:r w:rsidRPr="00FF4DD9">
        <w:rPr>
          <w:sz w:val="24"/>
          <w:szCs w:val="24"/>
        </w:rPr>
        <w:t>shock</w:t>
      </w:r>
      <w:proofErr w:type="spellEnd"/>
      <w:r w:rsidRPr="00FF4DD9">
        <w:rPr>
          <w:sz w:val="24"/>
          <w:szCs w:val="24"/>
        </w:rPr>
        <w:t>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I sjældne tilfælde forekommer der lokal irritation på injektionsstedet efter injektion af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. Forekomsten af denne bivirkning kan mindskes ved at reducere injektionsvolumen pr injektionssted (se </w:t>
      </w:r>
      <w:r>
        <w:rPr>
          <w:sz w:val="24"/>
          <w:szCs w:val="24"/>
        </w:rPr>
        <w:t xml:space="preserve">pkt. </w:t>
      </w:r>
      <w:r w:rsidRPr="00FF4DD9">
        <w:rPr>
          <w:sz w:val="24"/>
          <w:szCs w:val="24"/>
        </w:rPr>
        <w:t>4.9). I</w:t>
      </w:r>
      <w:r w:rsidRPr="00FF4DD9">
        <w:rPr>
          <w:color w:val="222222"/>
          <w:sz w:val="24"/>
          <w:szCs w:val="24"/>
          <w:shd w:val="clear" w:color="auto" w:fill="FFFFFF"/>
        </w:rPr>
        <w:t xml:space="preserve">rritationen er altid </w:t>
      </w:r>
      <w:r>
        <w:rPr>
          <w:color w:val="222222"/>
          <w:sz w:val="24"/>
          <w:szCs w:val="24"/>
          <w:shd w:val="clear" w:color="auto" w:fill="FFFFFF"/>
        </w:rPr>
        <w:t>med lav intensitet</w:t>
      </w:r>
      <w:r w:rsidRPr="00FF4DD9">
        <w:rPr>
          <w:color w:val="222222"/>
          <w:sz w:val="24"/>
          <w:szCs w:val="24"/>
          <w:shd w:val="clear" w:color="auto" w:fill="FFFFFF"/>
        </w:rPr>
        <w:t xml:space="preserve"> og forsvinder spontant og hurtigt.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I tilfælde med overfølsomhedsreaktioner, bør behandling afbrydes og symptomatisk behandling indledes.</w:t>
      </w:r>
    </w:p>
    <w:p w:rsidR="00B320BF" w:rsidRDefault="00B320BF" w:rsidP="00B320BF">
      <w:pPr>
        <w:ind w:left="851" w:hanging="851"/>
        <w:rPr>
          <w:sz w:val="24"/>
          <w:szCs w:val="24"/>
        </w:rPr>
      </w:pPr>
    </w:p>
    <w:p w:rsidR="00BA0C98" w:rsidRDefault="00BA0C98" w:rsidP="00B320BF">
      <w:pPr>
        <w:ind w:left="851" w:hanging="851"/>
        <w:rPr>
          <w:sz w:val="24"/>
          <w:szCs w:val="24"/>
        </w:rPr>
      </w:pPr>
    </w:p>
    <w:p w:rsidR="00BA0C98" w:rsidRPr="00FF4DD9" w:rsidRDefault="00BA0C98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lastRenderedPageBreak/>
        <w:t>4.7</w:t>
      </w:r>
      <w:r w:rsidRPr="00FF4DD9">
        <w:rPr>
          <w:b/>
          <w:sz w:val="24"/>
          <w:szCs w:val="24"/>
        </w:rPr>
        <w:tab/>
        <w:t>Drægtighed, diegivning eller æglægning</w:t>
      </w: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sz w:val="24"/>
          <w:szCs w:val="24"/>
        </w:rPr>
        <w:tab/>
        <w:t>Laboratorie</w:t>
      </w:r>
      <w:r>
        <w:rPr>
          <w:sz w:val="24"/>
          <w:szCs w:val="24"/>
        </w:rPr>
        <w:t>undersøgelser af</w:t>
      </w:r>
      <w:r w:rsidRPr="00FF4DD9">
        <w:rPr>
          <w:sz w:val="24"/>
          <w:szCs w:val="24"/>
        </w:rPr>
        <w:t xml:space="preserve"> rotter og kaniner har ikke afsløret </w:t>
      </w:r>
      <w:proofErr w:type="spellStart"/>
      <w:r w:rsidRPr="00FF4DD9">
        <w:rPr>
          <w:sz w:val="24"/>
          <w:szCs w:val="24"/>
        </w:rPr>
        <w:t>teratogene</w:t>
      </w:r>
      <w:proofErr w:type="spellEnd"/>
      <w:r w:rsidRPr="00FF4DD9">
        <w:rPr>
          <w:sz w:val="24"/>
          <w:szCs w:val="24"/>
        </w:rPr>
        <w:t xml:space="preserve"> virkninger, </w:t>
      </w:r>
      <w:proofErr w:type="spellStart"/>
      <w:r w:rsidRPr="00FF4DD9">
        <w:rPr>
          <w:sz w:val="24"/>
          <w:szCs w:val="24"/>
        </w:rPr>
        <w:t>føtal</w:t>
      </w:r>
      <w:proofErr w:type="spellEnd"/>
      <w:r w:rsidRPr="00FF4DD9">
        <w:rPr>
          <w:sz w:val="24"/>
          <w:szCs w:val="24"/>
        </w:rPr>
        <w:t xml:space="preserve"> toksicitet eller </w:t>
      </w:r>
      <w:proofErr w:type="spellStart"/>
      <w:r w:rsidRPr="00FF4DD9">
        <w:rPr>
          <w:sz w:val="24"/>
          <w:szCs w:val="24"/>
        </w:rPr>
        <w:t>maternel</w:t>
      </w:r>
      <w:proofErr w:type="spellEnd"/>
      <w:r w:rsidRPr="00FF4DD9">
        <w:rPr>
          <w:sz w:val="24"/>
          <w:szCs w:val="24"/>
        </w:rPr>
        <w:t xml:space="preserve"> toksicitet ved anvendelse af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. Lægemidlets sikkerhed under drægtighed og diegivning hos kvæg og søer er ikke undersøgt. Må kun anvendes i overensstemmelse med den ansvarlige dyrlæges vurdering af </w:t>
      </w:r>
      <w:proofErr w:type="spellStart"/>
      <w:r w:rsidRPr="00FF4DD9">
        <w:rPr>
          <w:sz w:val="24"/>
          <w:szCs w:val="24"/>
        </w:rPr>
        <w:t>risk</w:t>
      </w:r>
      <w:proofErr w:type="spellEnd"/>
      <w:r w:rsidRPr="00FF4DD9">
        <w:rPr>
          <w:sz w:val="24"/>
          <w:szCs w:val="24"/>
        </w:rPr>
        <w:t>-</w:t>
      </w:r>
      <w:proofErr w:type="gramStart"/>
      <w:r w:rsidRPr="00FF4DD9">
        <w:rPr>
          <w:sz w:val="24"/>
          <w:szCs w:val="24"/>
        </w:rPr>
        <w:t>benefit forholdet</w:t>
      </w:r>
      <w:proofErr w:type="gramEnd"/>
      <w:r w:rsidRPr="00FF4DD9">
        <w:rPr>
          <w:sz w:val="24"/>
          <w:szCs w:val="24"/>
        </w:rPr>
        <w:t xml:space="preserve">. 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4.8</w:t>
      </w:r>
      <w:r w:rsidRPr="00FF4DD9">
        <w:rPr>
          <w:b/>
          <w:sz w:val="24"/>
          <w:szCs w:val="24"/>
        </w:rPr>
        <w:tab/>
        <w:t>Interaktion med andre lægemidler og andre former for interaktion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 xml:space="preserve">Må ikke anvendes sammen med antibiotika, der hæmmer </w:t>
      </w:r>
      <w:r>
        <w:rPr>
          <w:sz w:val="24"/>
          <w:szCs w:val="24"/>
        </w:rPr>
        <w:t xml:space="preserve">den </w:t>
      </w:r>
      <w:r w:rsidRPr="00FF4DD9">
        <w:rPr>
          <w:sz w:val="24"/>
          <w:szCs w:val="24"/>
        </w:rPr>
        <w:t>bakteriel</w:t>
      </w:r>
      <w:r>
        <w:rPr>
          <w:sz w:val="24"/>
          <w:szCs w:val="24"/>
        </w:rPr>
        <w:t>le</w:t>
      </w:r>
      <w:r w:rsidRPr="00FF4DD9">
        <w:rPr>
          <w:sz w:val="24"/>
          <w:szCs w:val="24"/>
        </w:rPr>
        <w:t xml:space="preserve"> proteinsyntese, da disse kan have en antagonistisk effekt på den baktericide virkning af penicillin.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4.9</w:t>
      </w:r>
      <w:r w:rsidRPr="00FF4DD9">
        <w:rPr>
          <w:b/>
          <w:sz w:val="24"/>
          <w:szCs w:val="24"/>
        </w:rPr>
        <w:tab/>
        <w:t>Dosering og indgivelsesmåde</w:t>
      </w:r>
    </w:p>
    <w:p w:rsidR="00B320BF" w:rsidRPr="00FF4DD9" w:rsidRDefault="00B320BF" w:rsidP="00B320BF">
      <w:pPr>
        <w:ind w:left="851" w:hanging="851"/>
        <w:rPr>
          <w:noProof/>
          <w:sz w:val="24"/>
          <w:szCs w:val="24"/>
        </w:rPr>
      </w:pPr>
      <w:r w:rsidRPr="00FF4DD9">
        <w:rPr>
          <w:sz w:val="24"/>
          <w:szCs w:val="24"/>
        </w:rPr>
        <w:tab/>
        <w:t>Til intramuskulær brug</w:t>
      </w:r>
      <w:r w:rsidRPr="00FF4DD9">
        <w:rPr>
          <w:noProof/>
          <w:sz w:val="24"/>
          <w:szCs w:val="24"/>
        </w:rPr>
        <w:t>.</w:t>
      </w:r>
    </w:p>
    <w:p w:rsidR="00B320BF" w:rsidRPr="00FF4DD9" w:rsidRDefault="00B320BF" w:rsidP="00B320BF">
      <w:pPr>
        <w:ind w:left="851"/>
        <w:rPr>
          <w:noProof/>
          <w:sz w:val="24"/>
          <w:szCs w:val="24"/>
        </w:rPr>
      </w:pPr>
      <w:r w:rsidRPr="00FF4DD9">
        <w:rPr>
          <w:noProof/>
          <w:sz w:val="24"/>
          <w:szCs w:val="24"/>
        </w:rPr>
        <w:t>Omrystes grundigt før anvendelse.</w:t>
      </w:r>
    </w:p>
    <w:p w:rsidR="00B320BF" w:rsidRPr="00FF4DD9" w:rsidRDefault="00B320BF" w:rsidP="00B320BF">
      <w:pPr>
        <w:ind w:left="851"/>
        <w:rPr>
          <w:noProof/>
          <w:sz w:val="24"/>
          <w:szCs w:val="24"/>
        </w:rPr>
      </w:pPr>
      <w:r w:rsidRPr="00FF4DD9">
        <w:rPr>
          <w:noProof/>
          <w:sz w:val="24"/>
          <w:szCs w:val="24"/>
        </w:rPr>
        <w:t xml:space="preserve">15 mg amoxicillin pr. kg legemsvægt; svarende til 1 ml af lægemidlet pr. </w:t>
      </w:r>
      <w:smartTag w:uri="urn:schemas-microsoft-com:office:smarttags" w:element="metricconverter">
        <w:smartTagPr>
          <w:attr w:name="ProductID" w:val="10 kg"/>
        </w:smartTagPr>
        <w:r w:rsidRPr="00FF4DD9">
          <w:rPr>
            <w:noProof/>
            <w:sz w:val="24"/>
            <w:szCs w:val="24"/>
          </w:rPr>
          <w:t>10 kg</w:t>
        </w:r>
      </w:smartTag>
      <w:r w:rsidRPr="00FF4DD9">
        <w:rPr>
          <w:noProof/>
          <w:sz w:val="24"/>
          <w:szCs w:val="24"/>
        </w:rPr>
        <w:t>.</w:t>
      </w:r>
    </w:p>
    <w:p w:rsidR="00B320BF" w:rsidRPr="00FF4DD9" w:rsidRDefault="00B320BF" w:rsidP="00B320BF">
      <w:pPr>
        <w:ind w:left="851"/>
        <w:rPr>
          <w:noProof/>
          <w:sz w:val="24"/>
          <w:szCs w:val="24"/>
        </w:rPr>
      </w:pPr>
      <w:r w:rsidRPr="00FF4DD9">
        <w:rPr>
          <w:noProof/>
          <w:sz w:val="24"/>
          <w:szCs w:val="24"/>
        </w:rPr>
        <w:t>Behandling bør gentages efter 48 timer.</w:t>
      </w:r>
    </w:p>
    <w:p w:rsidR="00B320BF" w:rsidRPr="00FF4DD9" w:rsidRDefault="00B320BF" w:rsidP="00B320BF">
      <w:pPr>
        <w:ind w:left="851"/>
        <w:rPr>
          <w:iCs/>
          <w:sz w:val="24"/>
          <w:szCs w:val="24"/>
        </w:rPr>
      </w:pPr>
      <w:r w:rsidRPr="00FF4DD9">
        <w:rPr>
          <w:iCs/>
          <w:sz w:val="24"/>
          <w:szCs w:val="24"/>
        </w:rPr>
        <w:t>Dyrets vægt skal fastslås så præcist som muligt for at sikre korrekt dosering og undgå underdosering.</w:t>
      </w:r>
    </w:p>
    <w:p w:rsidR="00B320BF" w:rsidRPr="00FF4DD9" w:rsidRDefault="00B320BF" w:rsidP="00B320BF">
      <w:pPr>
        <w:ind w:left="851"/>
        <w:rPr>
          <w:iCs/>
          <w:sz w:val="24"/>
          <w:szCs w:val="24"/>
        </w:rPr>
      </w:pPr>
      <w:r w:rsidRPr="00FF4DD9">
        <w:rPr>
          <w:iCs/>
          <w:sz w:val="24"/>
          <w:szCs w:val="24"/>
        </w:rPr>
        <w:t>Hos kvæg: Der må maksimalt administreres 20 ml af lægemidlet pr. injektionssted.</w:t>
      </w:r>
    </w:p>
    <w:p w:rsidR="00B320BF" w:rsidRPr="00FF4DD9" w:rsidRDefault="00B320BF" w:rsidP="00B320BF">
      <w:pPr>
        <w:ind w:left="851"/>
        <w:rPr>
          <w:iCs/>
          <w:sz w:val="24"/>
          <w:szCs w:val="24"/>
        </w:rPr>
      </w:pPr>
      <w:r w:rsidRPr="00FF4DD9">
        <w:rPr>
          <w:iCs/>
          <w:sz w:val="24"/>
          <w:szCs w:val="24"/>
        </w:rPr>
        <w:t>Hos svin: Der må maksimalt administreres 6 ml af lægemidlet pr. injektionssted.</w:t>
      </w:r>
    </w:p>
    <w:p w:rsidR="00B320BF" w:rsidRPr="00FF4DD9" w:rsidRDefault="00B320BF" w:rsidP="00B320BF">
      <w:pPr>
        <w:ind w:left="851"/>
        <w:rPr>
          <w:iCs/>
          <w:sz w:val="24"/>
          <w:szCs w:val="24"/>
        </w:rPr>
      </w:pPr>
      <w:r w:rsidRPr="00FF4DD9">
        <w:rPr>
          <w:iCs/>
          <w:sz w:val="24"/>
          <w:szCs w:val="24"/>
        </w:rPr>
        <w:t>Et separat injektionssted bør anvendes ved hver administration.</w:t>
      </w:r>
    </w:p>
    <w:p w:rsidR="00B320BF" w:rsidRPr="00FF4DD9" w:rsidRDefault="00B320BF" w:rsidP="00B320BF">
      <w:pPr>
        <w:ind w:firstLine="851"/>
        <w:rPr>
          <w:sz w:val="24"/>
          <w:szCs w:val="24"/>
        </w:rPr>
      </w:pPr>
      <w:r w:rsidRPr="00FF4DD9">
        <w:rPr>
          <w:sz w:val="24"/>
          <w:szCs w:val="24"/>
        </w:rPr>
        <w:t>Normale aseptiske forholdsregler ved injektion bør overholdes.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Hvis der ikke ses en tydelig klinisk respons efter anden behandling bør diagnosen revurderes, og en ændring af behandlingsstrategien kan eventuelt være påkrævet.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Gummiproppen må ikke gennemstikkes mere end 10 gange: hvis nødvendigt, brug automatsprøjte.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4.10</w:t>
      </w:r>
      <w:r w:rsidRPr="00FF4DD9">
        <w:rPr>
          <w:b/>
          <w:sz w:val="24"/>
          <w:szCs w:val="24"/>
        </w:rPr>
        <w:tab/>
        <w:t>Overdosering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</w:r>
      <w:proofErr w:type="spellStart"/>
      <w:r w:rsidRPr="00FF4DD9">
        <w:rPr>
          <w:sz w:val="24"/>
          <w:szCs w:val="24"/>
          <w:shd w:val="clear" w:color="auto" w:fill="FFFFFF"/>
        </w:rPr>
        <w:t>Amoxicillin</w:t>
      </w:r>
      <w:proofErr w:type="spellEnd"/>
      <w:r w:rsidRPr="00FF4DD9">
        <w:rPr>
          <w:rStyle w:val="apple-converted-space"/>
          <w:sz w:val="24"/>
          <w:szCs w:val="24"/>
          <w:shd w:val="clear" w:color="auto" w:fill="FFFFFF"/>
        </w:rPr>
        <w:t> </w:t>
      </w:r>
      <w:r w:rsidRPr="00FF4DD9">
        <w:rPr>
          <w:sz w:val="24"/>
          <w:szCs w:val="24"/>
          <w:shd w:val="clear" w:color="auto" w:fill="FFFFFF"/>
        </w:rPr>
        <w:t>har en høj sikkerhedsmargin.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4.11</w:t>
      </w:r>
      <w:r w:rsidRPr="00FF4DD9">
        <w:rPr>
          <w:b/>
          <w:sz w:val="24"/>
          <w:szCs w:val="24"/>
        </w:rPr>
        <w:tab/>
        <w:t>Tilbageholdelsestid</w:t>
      </w:r>
    </w:p>
    <w:p w:rsidR="00B320BF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</w:r>
    </w:p>
    <w:p w:rsidR="00B320BF" w:rsidRDefault="00B320BF" w:rsidP="00B320BF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Kvæg:</w:t>
      </w:r>
    </w:p>
    <w:p w:rsidR="00B320BF" w:rsidRPr="00FB010C" w:rsidRDefault="00B320BF" w:rsidP="00B320BF">
      <w:pPr>
        <w:ind w:left="851"/>
        <w:rPr>
          <w:sz w:val="24"/>
          <w:szCs w:val="24"/>
        </w:rPr>
      </w:pPr>
      <w:r w:rsidRPr="00545D2D">
        <w:rPr>
          <w:sz w:val="24"/>
          <w:szCs w:val="24"/>
        </w:rPr>
        <w:t xml:space="preserve">Slagtning: </w:t>
      </w:r>
      <w:r w:rsidRPr="00FB010C">
        <w:rPr>
          <w:sz w:val="24"/>
          <w:szCs w:val="24"/>
        </w:rPr>
        <w:t>18 døgn</w:t>
      </w:r>
    </w:p>
    <w:p w:rsidR="00B320BF" w:rsidRPr="00545D2D" w:rsidRDefault="00B320BF" w:rsidP="00B320BF">
      <w:pPr>
        <w:ind w:left="851"/>
        <w:rPr>
          <w:sz w:val="24"/>
          <w:szCs w:val="24"/>
        </w:rPr>
      </w:pPr>
      <w:r w:rsidRPr="00545D2D">
        <w:rPr>
          <w:sz w:val="24"/>
          <w:szCs w:val="24"/>
        </w:rPr>
        <w:t>Mælk: 3 døgn</w:t>
      </w:r>
    </w:p>
    <w:p w:rsidR="00B320BF" w:rsidRDefault="00B320BF" w:rsidP="00B320BF">
      <w:pPr>
        <w:ind w:left="851"/>
        <w:rPr>
          <w:sz w:val="24"/>
          <w:szCs w:val="24"/>
        </w:rPr>
      </w:pPr>
    </w:p>
    <w:p w:rsidR="00B320BF" w:rsidRPr="00545D2D" w:rsidRDefault="00B320BF" w:rsidP="00B320BF">
      <w:pPr>
        <w:ind w:left="851"/>
        <w:rPr>
          <w:sz w:val="24"/>
          <w:szCs w:val="24"/>
          <w:u w:val="single"/>
        </w:rPr>
      </w:pPr>
      <w:r w:rsidRPr="00545D2D">
        <w:rPr>
          <w:sz w:val="24"/>
          <w:szCs w:val="24"/>
          <w:u w:val="single"/>
        </w:rPr>
        <w:t xml:space="preserve">Svin: 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Slagtning: </w:t>
      </w:r>
      <w:r w:rsidR="00A50F61">
        <w:rPr>
          <w:sz w:val="24"/>
          <w:szCs w:val="24"/>
        </w:rPr>
        <w:t>16 døgn</w:t>
      </w:r>
    </w:p>
    <w:p w:rsidR="00B320BF" w:rsidRPr="00FF4DD9" w:rsidRDefault="00B320BF" w:rsidP="00B320BF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5.</w:t>
      </w:r>
      <w:r w:rsidRPr="00FF4DD9">
        <w:rPr>
          <w:b/>
          <w:sz w:val="24"/>
          <w:szCs w:val="24"/>
        </w:rPr>
        <w:tab/>
        <w:t>FARMAKOLOGISKE EGENSKABER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proofErr w:type="spellStart"/>
      <w:r w:rsidRPr="00FF4DD9">
        <w:rPr>
          <w:sz w:val="24"/>
          <w:szCs w:val="24"/>
        </w:rPr>
        <w:t>Farmakoterapeutisk</w:t>
      </w:r>
      <w:proofErr w:type="spellEnd"/>
      <w:r w:rsidRPr="00FF4DD9">
        <w:rPr>
          <w:sz w:val="24"/>
          <w:szCs w:val="24"/>
        </w:rPr>
        <w:t xml:space="preserve"> gruppe: </w:t>
      </w:r>
      <w:r w:rsidRPr="00FF4DD9">
        <w:rPr>
          <w:color w:val="000000"/>
          <w:sz w:val="24"/>
          <w:szCs w:val="24"/>
        </w:rPr>
        <w:t xml:space="preserve">Antibiotika til systemisk brug, </w:t>
      </w:r>
      <w:proofErr w:type="spellStart"/>
      <w:r w:rsidRPr="00FF4DD9">
        <w:rPr>
          <w:color w:val="000000"/>
          <w:sz w:val="24"/>
          <w:szCs w:val="24"/>
        </w:rPr>
        <w:t>amoxicillin</w:t>
      </w:r>
      <w:proofErr w:type="spellEnd"/>
      <w:r w:rsidRPr="00FF4DD9">
        <w:rPr>
          <w:color w:val="000000"/>
          <w:sz w:val="24"/>
          <w:szCs w:val="24"/>
        </w:rPr>
        <w:t>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proofErr w:type="spellStart"/>
      <w:r w:rsidRPr="00FF4DD9">
        <w:rPr>
          <w:sz w:val="24"/>
          <w:szCs w:val="24"/>
        </w:rPr>
        <w:t>ATCvet</w:t>
      </w:r>
      <w:proofErr w:type="spellEnd"/>
      <w:r w:rsidRPr="00FF4DD9">
        <w:rPr>
          <w:sz w:val="24"/>
          <w:szCs w:val="24"/>
        </w:rPr>
        <w:t>-kode: QJ01CA04</w:t>
      </w: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5.1</w:t>
      </w:r>
      <w:r w:rsidRPr="00FF4DD9">
        <w:rPr>
          <w:b/>
          <w:sz w:val="24"/>
          <w:szCs w:val="24"/>
        </w:rPr>
        <w:tab/>
      </w:r>
      <w:proofErr w:type="spellStart"/>
      <w:r w:rsidRPr="00FF4DD9">
        <w:rPr>
          <w:b/>
          <w:sz w:val="24"/>
          <w:szCs w:val="24"/>
        </w:rPr>
        <w:t>Farmakodynamiske</w:t>
      </w:r>
      <w:proofErr w:type="spellEnd"/>
      <w:r w:rsidRPr="00FF4DD9">
        <w:rPr>
          <w:b/>
          <w:sz w:val="24"/>
          <w:szCs w:val="24"/>
        </w:rPr>
        <w:t xml:space="preserve"> egenskaber</w:t>
      </w:r>
    </w:p>
    <w:p w:rsidR="00B320BF" w:rsidRPr="00FF4DD9" w:rsidRDefault="00B320BF" w:rsidP="00B320BF">
      <w:pPr>
        <w:shd w:val="clear" w:color="auto" w:fill="FFFFFF"/>
        <w:ind w:left="851" w:hanging="851"/>
        <w:rPr>
          <w:sz w:val="24"/>
          <w:szCs w:val="24"/>
          <w:shd w:val="clear" w:color="auto" w:fill="FFFFFF"/>
        </w:rPr>
      </w:pPr>
      <w:r w:rsidRPr="00FF4DD9">
        <w:rPr>
          <w:sz w:val="24"/>
          <w:szCs w:val="24"/>
        </w:rPr>
        <w:tab/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er et bredspektret antibiotikum i </w:t>
      </w:r>
      <w:proofErr w:type="spellStart"/>
      <w:r w:rsidRPr="00FF4DD9">
        <w:rPr>
          <w:sz w:val="24"/>
          <w:szCs w:val="24"/>
        </w:rPr>
        <w:t>amino</w:t>
      </w:r>
      <w:proofErr w:type="spellEnd"/>
      <w:r w:rsidRPr="00FF4DD9">
        <w:rPr>
          <w:sz w:val="24"/>
          <w:szCs w:val="24"/>
        </w:rPr>
        <w:t xml:space="preserve">-penicillin familien med en struktur, der ligger tæt på </w:t>
      </w:r>
      <w:proofErr w:type="spellStart"/>
      <w:r w:rsidRPr="00FF4DD9">
        <w:rPr>
          <w:sz w:val="24"/>
          <w:szCs w:val="24"/>
        </w:rPr>
        <w:t>ampicillin</w:t>
      </w:r>
      <w:proofErr w:type="spellEnd"/>
      <w:r w:rsidRPr="00FF4DD9">
        <w:rPr>
          <w:sz w:val="24"/>
          <w:szCs w:val="24"/>
        </w:rPr>
        <w:t xml:space="preserve">.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har baktericid effekt på </w:t>
      </w:r>
      <w:proofErr w:type="spellStart"/>
      <w:r w:rsidRPr="00FF4DD9">
        <w:rPr>
          <w:sz w:val="24"/>
          <w:szCs w:val="24"/>
        </w:rPr>
        <w:t>Gram-positive</w:t>
      </w:r>
      <w:proofErr w:type="spellEnd"/>
      <w:r w:rsidRPr="00FF4DD9">
        <w:rPr>
          <w:sz w:val="24"/>
          <w:szCs w:val="24"/>
        </w:rPr>
        <w:t xml:space="preserve"> og </w:t>
      </w:r>
      <w:proofErr w:type="spellStart"/>
      <w:r w:rsidRPr="00FF4DD9">
        <w:rPr>
          <w:sz w:val="24"/>
          <w:szCs w:val="24"/>
        </w:rPr>
        <w:t>Gram-negative</w:t>
      </w:r>
      <w:proofErr w:type="spellEnd"/>
      <w:r w:rsidRPr="00FF4DD9">
        <w:rPr>
          <w:sz w:val="24"/>
          <w:szCs w:val="24"/>
        </w:rPr>
        <w:t xml:space="preserve"> bakterier.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hæmmer dannelsen og reparationen af den bakterielle </w:t>
      </w:r>
      <w:proofErr w:type="spellStart"/>
      <w:r w:rsidRPr="00FF4DD9">
        <w:rPr>
          <w:sz w:val="24"/>
          <w:szCs w:val="24"/>
        </w:rPr>
        <w:t>mucopeptidcellevæg</w:t>
      </w:r>
      <w:proofErr w:type="spellEnd"/>
      <w:r w:rsidRPr="00FF4DD9">
        <w:rPr>
          <w:sz w:val="24"/>
          <w:szCs w:val="24"/>
        </w:rPr>
        <w:t xml:space="preserve">.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er et semisyntetisk penicillin og</w:t>
      </w:r>
      <w:r w:rsidRPr="00FF4DD9">
        <w:rPr>
          <w:sz w:val="24"/>
          <w:szCs w:val="24"/>
          <w:shd w:val="clear" w:color="auto" w:fill="FFFFFF"/>
        </w:rPr>
        <w:t xml:space="preserve"> følsom overfor virkningen af bakterielle</w:t>
      </w:r>
      <w:r w:rsidRPr="00FF4DD9">
        <w:rPr>
          <w:sz w:val="24"/>
          <w:szCs w:val="24"/>
        </w:rPr>
        <w:t xml:space="preserve"> beta-</w:t>
      </w:r>
      <w:proofErr w:type="spellStart"/>
      <w:r w:rsidRPr="00FF4DD9">
        <w:rPr>
          <w:sz w:val="24"/>
          <w:szCs w:val="24"/>
        </w:rPr>
        <w:t>lactamaser</w:t>
      </w:r>
      <w:proofErr w:type="spellEnd"/>
      <w:r w:rsidRPr="00FF4DD9">
        <w:rPr>
          <w:sz w:val="24"/>
          <w:szCs w:val="24"/>
        </w:rPr>
        <w:t>.</w:t>
      </w:r>
      <w:r w:rsidRPr="00FF4DD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er et tidsafhængigt antibiotikum.</w:t>
      </w:r>
    </w:p>
    <w:p w:rsidR="00B320BF" w:rsidRPr="00FF4DD9" w:rsidRDefault="00B320BF" w:rsidP="00B320BF">
      <w:pPr>
        <w:shd w:val="clear" w:color="auto" w:fill="FFFFFF"/>
        <w:ind w:left="851"/>
        <w:rPr>
          <w:sz w:val="24"/>
          <w:szCs w:val="24"/>
          <w:lang w:eastAsia="fr-FR"/>
        </w:rPr>
      </w:pPr>
      <w:proofErr w:type="spellStart"/>
      <w:r w:rsidRPr="00FF4DD9">
        <w:rPr>
          <w:sz w:val="24"/>
          <w:szCs w:val="24"/>
          <w:shd w:val="clear" w:color="auto" w:fill="FFFFFF"/>
        </w:rPr>
        <w:lastRenderedPageBreak/>
        <w:t>Amoxicillin</w:t>
      </w:r>
      <w:proofErr w:type="spellEnd"/>
      <w:r w:rsidRPr="00FF4DD9">
        <w:rPr>
          <w:sz w:val="24"/>
          <w:szCs w:val="24"/>
          <w:shd w:val="clear" w:color="auto" w:fill="FFFFFF"/>
        </w:rPr>
        <w:t xml:space="preserve"> virker på følgende mikroorganismer, der er </w:t>
      </w:r>
      <w:r>
        <w:rPr>
          <w:sz w:val="24"/>
          <w:szCs w:val="24"/>
          <w:shd w:val="clear" w:color="auto" w:fill="FFFFFF"/>
        </w:rPr>
        <w:t xml:space="preserve">årsag til </w:t>
      </w:r>
      <w:r w:rsidRPr="00FF4DD9">
        <w:rPr>
          <w:sz w:val="24"/>
          <w:szCs w:val="24"/>
          <w:shd w:val="clear" w:color="auto" w:fill="FFFFFF"/>
        </w:rPr>
        <w:t>luftvejslidelser hos kvæg:</w:t>
      </w:r>
      <w:r w:rsidRPr="00FF4DD9">
        <w:rPr>
          <w:rStyle w:val="apple-converted-space"/>
          <w:sz w:val="24"/>
          <w:szCs w:val="24"/>
          <w:shd w:val="clear" w:color="auto" w:fill="FFFFFF"/>
        </w:rPr>
        <w:t> </w:t>
      </w:r>
      <w:proofErr w:type="spellStart"/>
      <w:r w:rsidRPr="00FF4DD9">
        <w:rPr>
          <w:i/>
          <w:iCs/>
          <w:sz w:val="24"/>
          <w:szCs w:val="24"/>
          <w:shd w:val="clear" w:color="auto" w:fill="FFFFFF"/>
        </w:rPr>
        <w:t>Mannheimia</w:t>
      </w:r>
      <w:proofErr w:type="spellEnd"/>
      <w:r w:rsidRPr="00FF4DD9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F4DD9">
        <w:rPr>
          <w:i/>
          <w:iCs/>
          <w:sz w:val="24"/>
          <w:szCs w:val="24"/>
          <w:shd w:val="clear" w:color="auto" w:fill="FFFFFF"/>
        </w:rPr>
        <w:t>haemolytica</w:t>
      </w:r>
      <w:proofErr w:type="spellEnd"/>
      <w:r w:rsidRPr="00FF4DD9">
        <w:rPr>
          <w:rStyle w:val="apple-converted-space"/>
          <w:sz w:val="24"/>
          <w:szCs w:val="24"/>
          <w:shd w:val="clear" w:color="auto" w:fill="FFFFFF"/>
        </w:rPr>
        <w:t> </w:t>
      </w:r>
      <w:r w:rsidRPr="00FF4DD9">
        <w:rPr>
          <w:sz w:val="24"/>
          <w:szCs w:val="24"/>
          <w:shd w:val="clear" w:color="auto" w:fill="FFFFFF"/>
        </w:rPr>
        <w:t>og</w:t>
      </w:r>
      <w:r w:rsidRPr="00FF4DD9">
        <w:rPr>
          <w:rStyle w:val="apple-converted-space"/>
          <w:sz w:val="24"/>
          <w:szCs w:val="24"/>
          <w:shd w:val="clear" w:color="auto" w:fill="FFFFFF"/>
        </w:rPr>
        <w:t> </w:t>
      </w:r>
      <w:proofErr w:type="spellStart"/>
      <w:r w:rsidRPr="00FF4DD9">
        <w:rPr>
          <w:i/>
          <w:iCs/>
          <w:sz w:val="24"/>
          <w:szCs w:val="24"/>
          <w:shd w:val="clear" w:color="auto" w:fill="FFFFFF"/>
        </w:rPr>
        <w:t>Pasteurella</w:t>
      </w:r>
      <w:proofErr w:type="spellEnd"/>
      <w:r w:rsidRPr="00FF4DD9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F4DD9">
        <w:rPr>
          <w:i/>
          <w:iCs/>
          <w:sz w:val="24"/>
          <w:szCs w:val="24"/>
          <w:shd w:val="clear" w:color="auto" w:fill="FFFFFF"/>
        </w:rPr>
        <w:t>multocida</w:t>
      </w:r>
      <w:proofErr w:type="spellEnd"/>
      <w:r w:rsidRPr="00FF4DD9">
        <w:rPr>
          <w:sz w:val="24"/>
          <w:szCs w:val="24"/>
          <w:shd w:val="clear" w:color="auto" w:fill="FFFFFF"/>
        </w:rPr>
        <w:t xml:space="preserve">. </w:t>
      </w:r>
      <w:r w:rsidRPr="00FF4DD9">
        <w:rPr>
          <w:sz w:val="24"/>
          <w:szCs w:val="24"/>
          <w:lang w:eastAsia="fr-FR"/>
        </w:rPr>
        <w:t xml:space="preserve">Hos svin virker </w:t>
      </w:r>
      <w:proofErr w:type="spellStart"/>
      <w:r w:rsidRPr="00FF4DD9">
        <w:rPr>
          <w:sz w:val="24"/>
          <w:szCs w:val="24"/>
          <w:lang w:eastAsia="fr-FR"/>
        </w:rPr>
        <w:t>amoxicillin</w:t>
      </w:r>
      <w:proofErr w:type="spellEnd"/>
      <w:r w:rsidRPr="00FF4DD9">
        <w:rPr>
          <w:sz w:val="24"/>
          <w:szCs w:val="24"/>
          <w:lang w:eastAsia="fr-FR"/>
        </w:rPr>
        <w:t xml:space="preserve"> mod </w:t>
      </w:r>
      <w:proofErr w:type="spellStart"/>
      <w:r w:rsidRPr="00FF4DD9">
        <w:rPr>
          <w:i/>
          <w:iCs/>
          <w:sz w:val="24"/>
          <w:szCs w:val="24"/>
          <w:lang w:eastAsia="fr-FR"/>
        </w:rPr>
        <w:t>Pasteurella</w:t>
      </w:r>
      <w:proofErr w:type="spellEnd"/>
      <w:r w:rsidRPr="00FF4DD9">
        <w:rPr>
          <w:i/>
          <w:iCs/>
          <w:sz w:val="24"/>
          <w:szCs w:val="24"/>
          <w:lang w:eastAsia="fr-FR"/>
        </w:rPr>
        <w:t xml:space="preserve"> </w:t>
      </w:r>
      <w:proofErr w:type="spellStart"/>
      <w:r w:rsidRPr="00FF4DD9">
        <w:rPr>
          <w:i/>
          <w:iCs/>
          <w:sz w:val="24"/>
          <w:szCs w:val="24"/>
          <w:lang w:eastAsia="fr-FR"/>
        </w:rPr>
        <w:t>multocida</w:t>
      </w:r>
      <w:proofErr w:type="spellEnd"/>
      <w:r w:rsidRPr="00FF4DD9">
        <w:rPr>
          <w:sz w:val="24"/>
          <w:szCs w:val="24"/>
          <w:lang w:eastAsia="fr-FR"/>
        </w:rPr>
        <w:t xml:space="preserve">, der er </w:t>
      </w:r>
      <w:r>
        <w:rPr>
          <w:sz w:val="24"/>
          <w:szCs w:val="24"/>
          <w:lang w:eastAsia="fr-FR"/>
        </w:rPr>
        <w:t>årsag til</w:t>
      </w:r>
      <w:r w:rsidRPr="00FF4DD9">
        <w:rPr>
          <w:sz w:val="24"/>
          <w:szCs w:val="24"/>
          <w:lang w:eastAsia="fr-FR"/>
        </w:rPr>
        <w:t xml:space="preserve"> luftvejslidelser.</w:t>
      </w:r>
    </w:p>
    <w:p w:rsidR="00B320BF" w:rsidRPr="00FF4DD9" w:rsidRDefault="00B320BF" w:rsidP="00B320BF">
      <w:pPr>
        <w:shd w:val="clear" w:color="auto" w:fill="FFFFFF"/>
        <w:ind w:left="851"/>
        <w:rPr>
          <w:sz w:val="24"/>
          <w:szCs w:val="24"/>
          <w:lang w:eastAsia="fr-FR"/>
        </w:rPr>
      </w:pPr>
      <w:r w:rsidRPr="00FF4DD9">
        <w:rPr>
          <w:sz w:val="24"/>
          <w:szCs w:val="24"/>
          <w:lang w:eastAsia="fr-FR"/>
        </w:rPr>
        <w:t xml:space="preserve">Følgende Minimum </w:t>
      </w:r>
      <w:proofErr w:type="spellStart"/>
      <w:r w:rsidRPr="00FF4DD9">
        <w:rPr>
          <w:sz w:val="24"/>
          <w:szCs w:val="24"/>
          <w:lang w:eastAsia="fr-FR"/>
        </w:rPr>
        <w:t>Inhibitory</w:t>
      </w:r>
      <w:proofErr w:type="spellEnd"/>
      <w:r w:rsidRPr="00FF4DD9">
        <w:rPr>
          <w:sz w:val="24"/>
          <w:szCs w:val="24"/>
          <w:lang w:eastAsia="fr-FR"/>
        </w:rPr>
        <w:t xml:space="preserve"> </w:t>
      </w:r>
      <w:proofErr w:type="spellStart"/>
      <w:r w:rsidRPr="00FF4DD9">
        <w:rPr>
          <w:sz w:val="24"/>
          <w:szCs w:val="24"/>
          <w:lang w:eastAsia="fr-FR"/>
        </w:rPr>
        <w:t>Concentrations</w:t>
      </w:r>
      <w:proofErr w:type="spellEnd"/>
      <w:r w:rsidRPr="00FF4DD9">
        <w:rPr>
          <w:sz w:val="24"/>
          <w:szCs w:val="24"/>
          <w:lang w:eastAsia="fr-FR"/>
        </w:rPr>
        <w:t xml:space="preserve"> (MIC) er blevet bestemt for </w:t>
      </w:r>
      <w:proofErr w:type="spellStart"/>
      <w:r w:rsidRPr="00FF4DD9">
        <w:rPr>
          <w:sz w:val="24"/>
          <w:szCs w:val="24"/>
          <w:lang w:eastAsia="fr-FR"/>
        </w:rPr>
        <w:t>amoxicillin</w:t>
      </w:r>
      <w:proofErr w:type="spellEnd"/>
      <w:r w:rsidRPr="00FF4DD9">
        <w:rPr>
          <w:sz w:val="24"/>
          <w:szCs w:val="24"/>
          <w:lang w:eastAsia="fr-FR"/>
        </w:rPr>
        <w:t xml:space="preserve"> i Europæiske </w:t>
      </w:r>
      <w:proofErr w:type="spellStart"/>
      <w:r w:rsidRPr="00FF4DD9">
        <w:rPr>
          <w:sz w:val="24"/>
          <w:szCs w:val="24"/>
          <w:lang w:eastAsia="fr-FR"/>
        </w:rPr>
        <w:t>isolater</w:t>
      </w:r>
      <w:proofErr w:type="spellEnd"/>
      <w:r w:rsidRPr="00FF4DD9">
        <w:rPr>
          <w:sz w:val="24"/>
          <w:szCs w:val="24"/>
          <w:lang w:eastAsia="fr-FR"/>
        </w:rPr>
        <w:t xml:space="preserve"> (Frankrig, </w:t>
      </w:r>
      <w:proofErr w:type="spellStart"/>
      <w:r w:rsidRPr="00FF4DD9">
        <w:rPr>
          <w:sz w:val="24"/>
          <w:szCs w:val="24"/>
          <w:lang w:eastAsia="fr-FR"/>
        </w:rPr>
        <w:t>Storbritanien</w:t>
      </w:r>
      <w:proofErr w:type="spellEnd"/>
      <w:r w:rsidRPr="00FF4DD9">
        <w:rPr>
          <w:sz w:val="24"/>
          <w:szCs w:val="24"/>
          <w:lang w:eastAsia="fr-FR"/>
        </w:rPr>
        <w:t>, Danmark, Tyskland, Italien, Tjekkiet og Spanien) opsamlet fra syge dyr mellem 2009 og 2012:</w:t>
      </w:r>
    </w:p>
    <w:p w:rsidR="00B320BF" w:rsidRPr="00FF4DD9" w:rsidRDefault="00B320BF" w:rsidP="00B320BF">
      <w:pPr>
        <w:shd w:val="clear" w:color="auto" w:fill="FFFFFF"/>
        <w:ind w:left="851" w:hanging="851"/>
        <w:rPr>
          <w:sz w:val="24"/>
          <w:szCs w:val="24"/>
          <w:lang w:eastAsia="fr-FR"/>
        </w:rPr>
      </w:pPr>
    </w:p>
    <w:tbl>
      <w:tblPr>
        <w:tblW w:w="798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6"/>
        <w:gridCol w:w="829"/>
        <w:gridCol w:w="1047"/>
        <w:gridCol w:w="1571"/>
        <w:gridCol w:w="1075"/>
        <w:gridCol w:w="1073"/>
      </w:tblGrid>
      <w:tr w:rsidR="00B320BF" w:rsidRPr="00FF4DD9" w:rsidTr="00AB5E79">
        <w:trPr>
          <w:jc w:val="center"/>
        </w:trPr>
        <w:tc>
          <w:tcPr>
            <w:tcW w:w="248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jc w:val="center"/>
              <w:rPr>
                <w:sz w:val="24"/>
                <w:szCs w:val="24"/>
                <w:lang w:eastAsia="fr-FR"/>
              </w:rPr>
            </w:pPr>
            <w:r w:rsidRPr="00FF4DD9">
              <w:rPr>
                <w:b/>
                <w:bCs/>
                <w:sz w:val="24"/>
                <w:szCs w:val="24"/>
                <w:lang w:eastAsia="fr-FR"/>
              </w:rPr>
              <w:t>Bakterie art</w:t>
            </w:r>
          </w:p>
        </w:tc>
        <w:tc>
          <w:tcPr>
            <w:tcW w:w="840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jc w:val="center"/>
              <w:rPr>
                <w:sz w:val="24"/>
                <w:szCs w:val="24"/>
                <w:lang w:eastAsia="fr-FR"/>
              </w:rPr>
            </w:pPr>
            <w:r w:rsidRPr="00FF4DD9">
              <w:rPr>
                <w:b/>
                <w:bCs/>
                <w:sz w:val="24"/>
                <w:szCs w:val="24"/>
                <w:lang w:eastAsia="fr-FR"/>
              </w:rPr>
              <w:t>Dyr</w:t>
            </w:r>
          </w:p>
        </w:tc>
        <w:tc>
          <w:tcPr>
            <w:tcW w:w="841" w:type="dxa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jc w:val="center"/>
              <w:rPr>
                <w:sz w:val="24"/>
                <w:szCs w:val="24"/>
                <w:lang w:eastAsia="fr-FR"/>
              </w:rPr>
            </w:pPr>
            <w:r w:rsidRPr="00FF4DD9">
              <w:rPr>
                <w:b/>
                <w:bCs/>
                <w:sz w:val="24"/>
                <w:szCs w:val="24"/>
                <w:lang w:eastAsia="fr-FR"/>
              </w:rPr>
              <w:t>Antal stammer</w:t>
            </w:r>
          </w:p>
        </w:tc>
        <w:tc>
          <w:tcPr>
            <w:tcW w:w="3816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jc w:val="center"/>
              <w:rPr>
                <w:sz w:val="24"/>
                <w:szCs w:val="24"/>
                <w:lang w:eastAsia="fr-FR"/>
              </w:rPr>
            </w:pPr>
            <w:r w:rsidRPr="00FF4DD9">
              <w:rPr>
                <w:b/>
                <w:bCs/>
                <w:sz w:val="24"/>
                <w:szCs w:val="24"/>
                <w:lang w:eastAsia="fr-FR"/>
              </w:rPr>
              <w:t>MIC  </w:t>
            </w:r>
            <w:proofErr w:type="spellStart"/>
            <w:r w:rsidRPr="00FF4DD9">
              <w:rPr>
                <w:b/>
                <w:bCs/>
                <w:sz w:val="24"/>
                <w:szCs w:val="24"/>
                <w:lang w:eastAsia="fr-FR"/>
              </w:rPr>
              <w:t>amoxicillin</w:t>
            </w:r>
            <w:proofErr w:type="spellEnd"/>
            <w:r w:rsidRPr="00FF4DD9">
              <w:rPr>
                <w:b/>
                <w:bCs/>
                <w:sz w:val="24"/>
                <w:szCs w:val="24"/>
                <w:lang w:eastAsia="fr-FR"/>
              </w:rPr>
              <w:t> (µg/ml)</w:t>
            </w:r>
          </w:p>
        </w:tc>
      </w:tr>
      <w:tr w:rsidR="00B320BF" w:rsidRPr="00FF4DD9" w:rsidTr="00AB5E79">
        <w:trPr>
          <w:jc w:val="center"/>
        </w:trPr>
        <w:tc>
          <w:tcPr>
            <w:tcW w:w="0" w:type="auto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b/>
                <w:bCs/>
                <w:sz w:val="24"/>
                <w:szCs w:val="24"/>
                <w:lang w:eastAsia="fr-FR"/>
              </w:rPr>
              <w:t>Range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b/>
                <w:bCs/>
                <w:sz w:val="24"/>
                <w:szCs w:val="24"/>
                <w:lang w:eastAsia="fr-FR"/>
              </w:rPr>
              <w:t>MIC</w:t>
            </w:r>
            <w:r w:rsidRPr="00FF4DD9">
              <w:rPr>
                <w:b/>
                <w:bCs/>
                <w:sz w:val="24"/>
                <w:szCs w:val="24"/>
                <w:vertAlign w:val="subscript"/>
                <w:lang w:eastAsia="fr-FR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b/>
                <w:bCs/>
                <w:sz w:val="24"/>
                <w:szCs w:val="24"/>
                <w:lang w:eastAsia="fr-FR"/>
              </w:rPr>
              <w:t>MIC</w:t>
            </w:r>
            <w:r w:rsidRPr="00FF4DD9">
              <w:rPr>
                <w:b/>
                <w:bCs/>
                <w:sz w:val="24"/>
                <w:szCs w:val="24"/>
                <w:vertAlign w:val="subscript"/>
                <w:lang w:eastAsia="fr-FR"/>
              </w:rPr>
              <w:t>90</w:t>
            </w:r>
          </w:p>
        </w:tc>
      </w:tr>
      <w:tr w:rsidR="00B320BF" w:rsidRPr="00FF4DD9" w:rsidTr="00AB5E79">
        <w:trPr>
          <w:jc w:val="center"/>
        </w:trPr>
        <w:tc>
          <w:tcPr>
            <w:tcW w:w="2484" w:type="dxa"/>
            <w:vMerge w:val="restart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proofErr w:type="spellStart"/>
            <w:r w:rsidRPr="00FF4DD9">
              <w:rPr>
                <w:i/>
                <w:iCs/>
                <w:sz w:val="24"/>
                <w:szCs w:val="24"/>
                <w:lang w:eastAsia="fr-FR"/>
              </w:rPr>
              <w:t>Pasteurella</w:t>
            </w:r>
            <w:proofErr w:type="spellEnd"/>
            <w:r w:rsidRPr="00FF4DD9">
              <w:rPr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F4DD9">
              <w:rPr>
                <w:i/>
                <w:iCs/>
                <w:sz w:val="24"/>
                <w:szCs w:val="24"/>
                <w:lang w:eastAsia="fr-FR"/>
              </w:rPr>
              <w:t>multocida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Kvæg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0.0312 – 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0.2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0.3</w:t>
            </w:r>
          </w:p>
        </w:tc>
      </w:tr>
      <w:tr w:rsidR="00B320BF" w:rsidRPr="00FF4DD9" w:rsidTr="00AB5E7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Svin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0.125 – 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0.2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0.3</w:t>
            </w:r>
          </w:p>
        </w:tc>
      </w:tr>
      <w:tr w:rsidR="00B320BF" w:rsidRPr="00FF4DD9" w:rsidTr="00AB5E79">
        <w:trPr>
          <w:jc w:val="center"/>
        </w:trPr>
        <w:tc>
          <w:tcPr>
            <w:tcW w:w="2484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proofErr w:type="spellStart"/>
            <w:r w:rsidRPr="00FF4DD9">
              <w:rPr>
                <w:i/>
                <w:iCs/>
                <w:sz w:val="24"/>
                <w:szCs w:val="24"/>
                <w:lang w:eastAsia="fr-FR"/>
              </w:rPr>
              <w:t>Mannheimia</w:t>
            </w:r>
            <w:proofErr w:type="spellEnd"/>
            <w:r w:rsidRPr="00FF4DD9">
              <w:rPr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F4DD9">
              <w:rPr>
                <w:i/>
                <w:iCs/>
                <w:sz w:val="24"/>
                <w:szCs w:val="24"/>
                <w:lang w:eastAsia="fr-FR"/>
              </w:rPr>
              <w:t>haemolytica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Kvæg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0.125 – 0.5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0.15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20BF" w:rsidRPr="00FF4DD9" w:rsidRDefault="00B320BF" w:rsidP="00AB5E79">
            <w:pPr>
              <w:rPr>
                <w:sz w:val="24"/>
                <w:szCs w:val="24"/>
                <w:lang w:eastAsia="fr-FR"/>
              </w:rPr>
            </w:pPr>
            <w:r w:rsidRPr="00FF4DD9">
              <w:rPr>
                <w:sz w:val="24"/>
                <w:szCs w:val="24"/>
                <w:lang w:eastAsia="fr-FR"/>
              </w:rPr>
              <w:t>0.2</w:t>
            </w:r>
          </w:p>
        </w:tc>
      </w:tr>
    </w:tbl>
    <w:p w:rsidR="00B320BF" w:rsidRPr="00FF4DD9" w:rsidRDefault="00B320BF" w:rsidP="00B320BF">
      <w:pPr>
        <w:shd w:val="clear" w:color="auto" w:fill="FFFFFF"/>
        <w:ind w:left="851" w:hanging="851"/>
        <w:rPr>
          <w:sz w:val="24"/>
          <w:szCs w:val="24"/>
          <w:lang w:eastAsia="fr-FR"/>
        </w:rPr>
      </w:pPr>
    </w:p>
    <w:p w:rsidR="00B320BF" w:rsidRPr="00FF4DD9" w:rsidRDefault="00B320BF" w:rsidP="00B320BF">
      <w:pPr>
        <w:ind w:left="851"/>
        <w:rPr>
          <w:sz w:val="24"/>
          <w:szCs w:val="24"/>
          <w:lang w:eastAsia="fr-FR"/>
        </w:rPr>
      </w:pPr>
      <w:r w:rsidRPr="00FF4DD9">
        <w:rPr>
          <w:sz w:val="24"/>
          <w:szCs w:val="24"/>
          <w:lang w:eastAsia="fr-FR"/>
        </w:rPr>
        <w:t xml:space="preserve">Følgende </w:t>
      </w:r>
      <w:proofErr w:type="spellStart"/>
      <w:r w:rsidRPr="00FF4DD9">
        <w:rPr>
          <w:sz w:val="24"/>
          <w:szCs w:val="24"/>
          <w:lang w:eastAsia="fr-FR"/>
        </w:rPr>
        <w:t>breakpoints</w:t>
      </w:r>
      <w:proofErr w:type="spellEnd"/>
      <w:r w:rsidRPr="00FF4DD9">
        <w:rPr>
          <w:sz w:val="24"/>
          <w:szCs w:val="24"/>
          <w:lang w:eastAsia="fr-FR"/>
        </w:rPr>
        <w:t xml:space="preserve"> (grænseværdier) for </w:t>
      </w:r>
      <w:proofErr w:type="spellStart"/>
      <w:r w:rsidRPr="00FF4DD9">
        <w:rPr>
          <w:sz w:val="24"/>
          <w:szCs w:val="24"/>
          <w:lang w:eastAsia="fr-FR"/>
        </w:rPr>
        <w:t>amoxicillin</w:t>
      </w:r>
      <w:proofErr w:type="spellEnd"/>
      <w:r w:rsidRPr="00FF4DD9">
        <w:rPr>
          <w:sz w:val="24"/>
          <w:szCs w:val="24"/>
          <w:lang w:eastAsia="fr-FR"/>
        </w:rPr>
        <w:t xml:space="preserve"> anbefales af </w:t>
      </w:r>
      <w:proofErr w:type="spellStart"/>
      <w:r w:rsidRPr="00FF4DD9">
        <w:rPr>
          <w:sz w:val="24"/>
          <w:szCs w:val="24"/>
          <w:lang w:eastAsia="fr-FR"/>
        </w:rPr>
        <w:t>Comité</w:t>
      </w:r>
      <w:proofErr w:type="spellEnd"/>
      <w:r w:rsidRPr="00FF4DD9">
        <w:rPr>
          <w:sz w:val="24"/>
          <w:szCs w:val="24"/>
          <w:lang w:eastAsia="fr-FR"/>
        </w:rPr>
        <w:t xml:space="preserve"> de </w:t>
      </w:r>
      <w:proofErr w:type="spellStart"/>
      <w:r w:rsidRPr="00FF4DD9">
        <w:rPr>
          <w:sz w:val="24"/>
          <w:szCs w:val="24"/>
          <w:lang w:eastAsia="fr-FR"/>
        </w:rPr>
        <w:t>l'Antibiogramme</w:t>
      </w:r>
      <w:proofErr w:type="spellEnd"/>
      <w:r w:rsidRPr="00FF4DD9">
        <w:rPr>
          <w:sz w:val="24"/>
          <w:szCs w:val="24"/>
          <w:lang w:eastAsia="fr-FR"/>
        </w:rPr>
        <w:t xml:space="preserve"> of the Société </w:t>
      </w:r>
      <w:proofErr w:type="spellStart"/>
      <w:r w:rsidRPr="00FF4DD9">
        <w:rPr>
          <w:sz w:val="24"/>
          <w:szCs w:val="24"/>
          <w:lang w:eastAsia="fr-FR"/>
        </w:rPr>
        <w:t>Française</w:t>
      </w:r>
      <w:proofErr w:type="spellEnd"/>
      <w:r w:rsidRPr="00FF4DD9">
        <w:rPr>
          <w:sz w:val="24"/>
          <w:szCs w:val="24"/>
          <w:lang w:eastAsia="fr-FR"/>
        </w:rPr>
        <w:t xml:space="preserve"> de </w:t>
      </w:r>
      <w:proofErr w:type="spellStart"/>
      <w:r w:rsidRPr="00FF4DD9">
        <w:rPr>
          <w:sz w:val="24"/>
          <w:szCs w:val="24"/>
          <w:lang w:eastAsia="fr-FR"/>
        </w:rPr>
        <w:t>Microbiologie</w:t>
      </w:r>
      <w:proofErr w:type="spellEnd"/>
      <w:r w:rsidRPr="00FF4DD9">
        <w:rPr>
          <w:sz w:val="24"/>
          <w:szCs w:val="24"/>
          <w:lang w:eastAsia="fr-FR"/>
        </w:rPr>
        <w:t xml:space="preserve"> </w:t>
      </w:r>
      <w:r>
        <w:rPr>
          <w:sz w:val="24"/>
          <w:szCs w:val="24"/>
          <w:lang w:eastAsia="fr-FR"/>
        </w:rPr>
        <w:t>(SFM)</w:t>
      </w:r>
      <w:r w:rsidRPr="00FF4DD9">
        <w:rPr>
          <w:sz w:val="24"/>
          <w:szCs w:val="24"/>
          <w:lang w:eastAsia="fr-FR"/>
        </w:rPr>
        <w:t>: </w:t>
      </w:r>
      <w:r w:rsidRPr="00E61DA0">
        <w:rPr>
          <w:sz w:val="24"/>
          <w:szCs w:val="24"/>
          <w:u w:val="single"/>
          <w:lang w:eastAsia="fr-FR"/>
        </w:rPr>
        <w:t>&lt;</w:t>
      </w:r>
      <w:r w:rsidRPr="00FF4DD9">
        <w:rPr>
          <w:sz w:val="24"/>
          <w:szCs w:val="24"/>
          <w:lang w:eastAsia="fr-FR"/>
        </w:rPr>
        <w:t> 4 µg/ml (Følsomme) og &gt;16 µg/ml (Resistent). </w:t>
      </w:r>
    </w:p>
    <w:p w:rsidR="00B320BF" w:rsidRPr="00FF4DD9" w:rsidRDefault="00B320BF" w:rsidP="00B320BF">
      <w:pPr>
        <w:ind w:left="851" w:hanging="851"/>
        <w:rPr>
          <w:sz w:val="24"/>
          <w:szCs w:val="24"/>
          <w:u w:val="single"/>
        </w:rPr>
      </w:pPr>
    </w:p>
    <w:p w:rsidR="00B320BF" w:rsidRPr="00FF4DD9" w:rsidRDefault="00B320BF" w:rsidP="00B320BF">
      <w:pPr>
        <w:ind w:left="851"/>
        <w:rPr>
          <w:sz w:val="24"/>
          <w:szCs w:val="24"/>
          <w:u w:val="single"/>
        </w:rPr>
      </w:pPr>
      <w:r w:rsidRPr="00FF4DD9">
        <w:rPr>
          <w:sz w:val="24"/>
          <w:szCs w:val="24"/>
          <w:u w:val="single"/>
        </w:rPr>
        <w:t>Virkningsmåde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Den antimikrobielle virkningsmekanisme skyldes en hæmning af den biokemiske proces i nydannelsen af bakteriecellevægge ved en selektiv og irreversibel blokade af flere enzymer, specielt </w:t>
      </w:r>
      <w:proofErr w:type="spellStart"/>
      <w:r w:rsidRPr="00FF4DD9">
        <w:rPr>
          <w:sz w:val="24"/>
          <w:szCs w:val="24"/>
        </w:rPr>
        <w:t>transpeptidaser</w:t>
      </w:r>
      <w:proofErr w:type="spellEnd"/>
      <w:r w:rsidRPr="00FF4DD9">
        <w:rPr>
          <w:sz w:val="24"/>
          <w:szCs w:val="24"/>
        </w:rPr>
        <w:t xml:space="preserve">, </w:t>
      </w:r>
      <w:proofErr w:type="spellStart"/>
      <w:r w:rsidRPr="00FF4DD9">
        <w:rPr>
          <w:sz w:val="24"/>
          <w:szCs w:val="24"/>
        </w:rPr>
        <w:t>endopeptidaser</w:t>
      </w:r>
      <w:proofErr w:type="spellEnd"/>
      <w:r w:rsidRPr="00FF4DD9">
        <w:rPr>
          <w:sz w:val="24"/>
          <w:szCs w:val="24"/>
        </w:rPr>
        <w:t xml:space="preserve"> og </w:t>
      </w:r>
      <w:proofErr w:type="spellStart"/>
      <w:r w:rsidRPr="00FF4DD9">
        <w:rPr>
          <w:sz w:val="24"/>
          <w:szCs w:val="24"/>
        </w:rPr>
        <w:t>carboxypeptidaser</w:t>
      </w:r>
      <w:proofErr w:type="spellEnd"/>
      <w:r w:rsidRPr="00FF4DD9">
        <w:rPr>
          <w:sz w:val="24"/>
          <w:szCs w:val="24"/>
        </w:rPr>
        <w:t>. Hos følsomme bakterier, betyder en svækkelse af cellevæggen i forbindelse med bakterievækst, at bakterien efterfølgende dør.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Bakterier, der generelt er resistente overfor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>, er: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proofErr w:type="spellStart"/>
      <w:r w:rsidRPr="00FF4DD9">
        <w:rPr>
          <w:i/>
          <w:sz w:val="24"/>
          <w:szCs w:val="24"/>
        </w:rPr>
        <w:t>Staphylococcus</w:t>
      </w:r>
      <w:proofErr w:type="spellEnd"/>
      <w:r w:rsidRPr="00FF4DD9">
        <w:rPr>
          <w:sz w:val="24"/>
          <w:szCs w:val="24"/>
        </w:rPr>
        <w:t xml:space="preserve"> </w:t>
      </w:r>
      <w:proofErr w:type="spellStart"/>
      <w:r w:rsidRPr="00FF4DD9">
        <w:rPr>
          <w:sz w:val="24"/>
          <w:szCs w:val="24"/>
        </w:rPr>
        <w:t>spp</w:t>
      </w:r>
      <w:proofErr w:type="spellEnd"/>
      <w:r w:rsidRPr="00FF4DD9">
        <w:rPr>
          <w:sz w:val="24"/>
          <w:szCs w:val="24"/>
        </w:rPr>
        <w:t xml:space="preserve">. der producerer penicillinase, 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proofErr w:type="spellStart"/>
      <w:r w:rsidRPr="00FF4DD9">
        <w:rPr>
          <w:sz w:val="24"/>
          <w:szCs w:val="24"/>
        </w:rPr>
        <w:t>Enterobakterier</w:t>
      </w:r>
      <w:proofErr w:type="spellEnd"/>
      <w:r w:rsidRPr="00FF4DD9">
        <w:rPr>
          <w:sz w:val="24"/>
          <w:szCs w:val="24"/>
        </w:rPr>
        <w:t xml:space="preserve"> som </w:t>
      </w:r>
      <w:proofErr w:type="spellStart"/>
      <w:r w:rsidRPr="00FF4DD9">
        <w:rPr>
          <w:i/>
          <w:sz w:val="24"/>
          <w:szCs w:val="24"/>
        </w:rPr>
        <w:t>Klebsiella</w:t>
      </w:r>
      <w:proofErr w:type="spellEnd"/>
      <w:r w:rsidRPr="00FF4DD9">
        <w:rPr>
          <w:sz w:val="24"/>
          <w:szCs w:val="24"/>
        </w:rPr>
        <w:t xml:space="preserve"> </w:t>
      </w:r>
      <w:proofErr w:type="spellStart"/>
      <w:r w:rsidRPr="00FF4DD9">
        <w:rPr>
          <w:sz w:val="24"/>
          <w:szCs w:val="24"/>
        </w:rPr>
        <w:t>spp</w:t>
      </w:r>
      <w:proofErr w:type="spellEnd"/>
      <w:r w:rsidRPr="00FF4DD9">
        <w:rPr>
          <w:sz w:val="24"/>
          <w:szCs w:val="24"/>
        </w:rPr>
        <w:t xml:space="preserve">, </w:t>
      </w:r>
      <w:proofErr w:type="spellStart"/>
      <w:r w:rsidRPr="00FF4DD9">
        <w:rPr>
          <w:i/>
          <w:sz w:val="24"/>
          <w:szCs w:val="24"/>
        </w:rPr>
        <w:t>Enterobacter</w:t>
      </w:r>
      <w:proofErr w:type="spellEnd"/>
      <w:r w:rsidRPr="00FF4DD9">
        <w:rPr>
          <w:sz w:val="24"/>
          <w:szCs w:val="24"/>
        </w:rPr>
        <w:t xml:space="preserve"> </w:t>
      </w:r>
      <w:proofErr w:type="spellStart"/>
      <w:r w:rsidRPr="00FF4DD9">
        <w:rPr>
          <w:sz w:val="24"/>
          <w:szCs w:val="24"/>
        </w:rPr>
        <w:t>spp</w:t>
      </w:r>
      <w:proofErr w:type="spellEnd"/>
      <w:r w:rsidRPr="00FF4DD9">
        <w:rPr>
          <w:sz w:val="24"/>
          <w:szCs w:val="24"/>
        </w:rPr>
        <w:t xml:space="preserve">, </w:t>
      </w:r>
      <w:r w:rsidRPr="00FF4DD9">
        <w:rPr>
          <w:i/>
          <w:sz w:val="24"/>
          <w:szCs w:val="24"/>
        </w:rPr>
        <w:t>Proteus</w:t>
      </w:r>
      <w:r w:rsidRPr="00FF4DD9">
        <w:rPr>
          <w:sz w:val="24"/>
          <w:szCs w:val="24"/>
        </w:rPr>
        <w:t xml:space="preserve"> </w:t>
      </w:r>
      <w:proofErr w:type="spellStart"/>
      <w:r w:rsidRPr="00FF4DD9">
        <w:rPr>
          <w:sz w:val="24"/>
          <w:szCs w:val="24"/>
        </w:rPr>
        <w:t>spp</w:t>
      </w:r>
      <w:proofErr w:type="spellEnd"/>
      <w:r w:rsidRPr="00FF4DD9">
        <w:rPr>
          <w:sz w:val="24"/>
          <w:szCs w:val="24"/>
        </w:rPr>
        <w:t xml:space="preserve"> og </w:t>
      </w:r>
      <w:proofErr w:type="spellStart"/>
      <w:r w:rsidRPr="00FF4DD9">
        <w:rPr>
          <w:i/>
          <w:sz w:val="24"/>
          <w:szCs w:val="24"/>
        </w:rPr>
        <w:t>Pseudomonas</w:t>
      </w:r>
      <w:proofErr w:type="spellEnd"/>
      <w:r w:rsidRPr="00FF4DD9">
        <w:rPr>
          <w:i/>
          <w:sz w:val="24"/>
          <w:szCs w:val="24"/>
        </w:rPr>
        <w:t xml:space="preserve"> </w:t>
      </w:r>
      <w:proofErr w:type="spellStart"/>
      <w:r w:rsidRPr="00FF4DD9">
        <w:rPr>
          <w:i/>
          <w:sz w:val="24"/>
          <w:szCs w:val="24"/>
        </w:rPr>
        <w:t>aeruginosa</w:t>
      </w:r>
      <w:proofErr w:type="spellEnd"/>
      <w:r w:rsidRPr="00FF4DD9">
        <w:rPr>
          <w:sz w:val="24"/>
          <w:szCs w:val="24"/>
        </w:rPr>
        <w:t>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Bakterieresistens over for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skyldes overvejende beta-</w:t>
      </w:r>
      <w:proofErr w:type="spellStart"/>
      <w:r w:rsidRPr="00FF4DD9">
        <w:rPr>
          <w:sz w:val="24"/>
          <w:szCs w:val="24"/>
        </w:rPr>
        <w:t>lactamaser</w:t>
      </w:r>
      <w:proofErr w:type="spellEnd"/>
      <w:r w:rsidRPr="00FF4DD9">
        <w:rPr>
          <w:sz w:val="24"/>
          <w:szCs w:val="24"/>
        </w:rPr>
        <w:t>, der inaktiverer beta–</w:t>
      </w:r>
      <w:proofErr w:type="spellStart"/>
      <w:r w:rsidRPr="00FF4DD9">
        <w:rPr>
          <w:sz w:val="24"/>
          <w:szCs w:val="24"/>
        </w:rPr>
        <w:t>lactam</w:t>
      </w:r>
      <w:proofErr w:type="spellEnd"/>
      <w:r w:rsidRPr="00FF4DD9">
        <w:rPr>
          <w:sz w:val="24"/>
          <w:szCs w:val="24"/>
        </w:rPr>
        <w:t xml:space="preserve"> ringen i det aktive stof ved hydrolyse. Bakterielle beta-</w:t>
      </w:r>
      <w:proofErr w:type="spellStart"/>
      <w:r w:rsidRPr="00FF4DD9">
        <w:rPr>
          <w:sz w:val="24"/>
          <w:szCs w:val="24"/>
        </w:rPr>
        <w:t>lactamaser</w:t>
      </w:r>
      <w:proofErr w:type="spellEnd"/>
      <w:r w:rsidRPr="00FF4DD9">
        <w:rPr>
          <w:sz w:val="24"/>
          <w:szCs w:val="24"/>
        </w:rPr>
        <w:t xml:space="preserve"> kan være kodet i plasmider eller indgå som en del i bakteriers kromosomer.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Beta-</w:t>
      </w:r>
      <w:proofErr w:type="spellStart"/>
      <w:r w:rsidRPr="00FF4DD9">
        <w:rPr>
          <w:sz w:val="24"/>
          <w:szCs w:val="24"/>
        </w:rPr>
        <w:t>lactamaserne</w:t>
      </w:r>
      <w:proofErr w:type="spellEnd"/>
      <w:r w:rsidRPr="00FF4DD9">
        <w:rPr>
          <w:sz w:val="24"/>
          <w:szCs w:val="24"/>
        </w:rPr>
        <w:t xml:space="preserve"> findes ekstracellulært hos </w:t>
      </w:r>
      <w:proofErr w:type="spellStart"/>
      <w:r w:rsidRPr="00FF4DD9">
        <w:rPr>
          <w:sz w:val="24"/>
          <w:szCs w:val="24"/>
        </w:rPr>
        <w:t>Gram-positive</w:t>
      </w:r>
      <w:proofErr w:type="spellEnd"/>
      <w:r w:rsidRPr="00FF4DD9">
        <w:rPr>
          <w:sz w:val="24"/>
          <w:szCs w:val="24"/>
        </w:rPr>
        <w:t xml:space="preserve"> bakterier (</w:t>
      </w:r>
      <w:proofErr w:type="spellStart"/>
      <w:r w:rsidRPr="00FF4DD9">
        <w:rPr>
          <w:i/>
          <w:sz w:val="24"/>
          <w:szCs w:val="24"/>
        </w:rPr>
        <w:t>Staphylococcus</w:t>
      </w:r>
      <w:proofErr w:type="spellEnd"/>
      <w:r w:rsidRPr="00FF4DD9">
        <w:rPr>
          <w:i/>
          <w:sz w:val="24"/>
          <w:szCs w:val="24"/>
        </w:rPr>
        <w:t xml:space="preserve"> aureus</w:t>
      </w:r>
      <w:r w:rsidRPr="00FF4DD9">
        <w:rPr>
          <w:sz w:val="24"/>
          <w:szCs w:val="24"/>
        </w:rPr>
        <w:t xml:space="preserve">), mens de hos </w:t>
      </w:r>
      <w:proofErr w:type="spellStart"/>
      <w:r w:rsidRPr="00FF4DD9">
        <w:rPr>
          <w:sz w:val="24"/>
          <w:szCs w:val="24"/>
        </w:rPr>
        <w:t>Gram-negative</w:t>
      </w:r>
      <w:proofErr w:type="spellEnd"/>
      <w:r w:rsidRPr="00FF4DD9">
        <w:rPr>
          <w:sz w:val="24"/>
          <w:szCs w:val="24"/>
        </w:rPr>
        <w:t xml:space="preserve"> bakterier findes i det </w:t>
      </w:r>
      <w:proofErr w:type="spellStart"/>
      <w:r w:rsidRPr="00FF4DD9">
        <w:rPr>
          <w:sz w:val="24"/>
          <w:szCs w:val="24"/>
        </w:rPr>
        <w:t>periplasmatiske</w:t>
      </w:r>
      <w:proofErr w:type="spellEnd"/>
      <w:r w:rsidRPr="00FF4DD9">
        <w:rPr>
          <w:sz w:val="24"/>
          <w:szCs w:val="24"/>
        </w:rPr>
        <w:t xml:space="preserve"> rum.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proofErr w:type="spellStart"/>
      <w:r w:rsidRPr="00FF4DD9">
        <w:rPr>
          <w:sz w:val="24"/>
          <w:szCs w:val="24"/>
        </w:rPr>
        <w:t>Gram-positive</w:t>
      </w:r>
      <w:proofErr w:type="spellEnd"/>
      <w:r w:rsidRPr="00FF4DD9">
        <w:rPr>
          <w:sz w:val="24"/>
          <w:szCs w:val="24"/>
        </w:rPr>
        <w:t xml:space="preserve"> bakterier kan producere beta-</w:t>
      </w:r>
      <w:proofErr w:type="spellStart"/>
      <w:r w:rsidRPr="00FF4DD9">
        <w:rPr>
          <w:sz w:val="24"/>
          <w:szCs w:val="24"/>
        </w:rPr>
        <w:t>lactamaser</w:t>
      </w:r>
      <w:proofErr w:type="spellEnd"/>
      <w:r w:rsidRPr="00FF4DD9">
        <w:rPr>
          <w:sz w:val="24"/>
          <w:szCs w:val="24"/>
        </w:rPr>
        <w:t xml:space="preserve"> i store mængder. Disse enzymer kodes i plasmider, og disse kan overføres til andre bakterier.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/>
        <w:rPr>
          <w:sz w:val="24"/>
          <w:szCs w:val="24"/>
        </w:rPr>
      </w:pPr>
      <w:proofErr w:type="spellStart"/>
      <w:r w:rsidRPr="00FF4DD9">
        <w:rPr>
          <w:sz w:val="24"/>
          <w:szCs w:val="24"/>
        </w:rPr>
        <w:t>Gram-negative</w:t>
      </w:r>
      <w:proofErr w:type="spellEnd"/>
      <w:r w:rsidRPr="00FF4DD9">
        <w:rPr>
          <w:sz w:val="24"/>
          <w:szCs w:val="24"/>
        </w:rPr>
        <w:t xml:space="preserve"> bakterier producerer forskellige typer af beta-</w:t>
      </w:r>
      <w:proofErr w:type="spellStart"/>
      <w:r w:rsidRPr="00FF4DD9">
        <w:rPr>
          <w:sz w:val="24"/>
          <w:szCs w:val="24"/>
        </w:rPr>
        <w:t>lactamaser</w:t>
      </w:r>
      <w:proofErr w:type="spellEnd"/>
      <w:r w:rsidRPr="00FF4DD9">
        <w:rPr>
          <w:sz w:val="24"/>
          <w:szCs w:val="24"/>
        </w:rPr>
        <w:t xml:space="preserve">. Disse forbliver i det </w:t>
      </w:r>
      <w:proofErr w:type="spellStart"/>
      <w:r w:rsidRPr="00FF4DD9">
        <w:rPr>
          <w:sz w:val="24"/>
          <w:szCs w:val="24"/>
        </w:rPr>
        <w:t>periplasmatiske</w:t>
      </w:r>
      <w:proofErr w:type="spellEnd"/>
      <w:r w:rsidRPr="00FF4DD9">
        <w:rPr>
          <w:sz w:val="24"/>
          <w:szCs w:val="24"/>
        </w:rPr>
        <w:t xml:space="preserve"> rum, og kodes derfra i et kromosom eller i et plasmid.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Komplet krydsresistens findes mellem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og andre penicilliner, især til andre aminopenicilliner.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5.2</w:t>
      </w:r>
      <w:r w:rsidRPr="00FF4DD9">
        <w:rPr>
          <w:b/>
          <w:sz w:val="24"/>
          <w:szCs w:val="24"/>
        </w:rPr>
        <w:tab/>
      </w:r>
      <w:proofErr w:type="spellStart"/>
      <w:r w:rsidRPr="00FF4DD9">
        <w:rPr>
          <w:b/>
          <w:sz w:val="24"/>
          <w:szCs w:val="24"/>
        </w:rPr>
        <w:t>Farmakokinetiske</w:t>
      </w:r>
      <w:proofErr w:type="spellEnd"/>
      <w:r w:rsidRPr="00FF4DD9">
        <w:rPr>
          <w:b/>
          <w:sz w:val="24"/>
          <w:szCs w:val="24"/>
        </w:rPr>
        <w:t xml:space="preserve"> egenskaber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>Hos kvæg opnås maksimal plasmakoncentration</w:t>
      </w:r>
      <w:r>
        <w:rPr>
          <w:sz w:val="24"/>
          <w:szCs w:val="24"/>
        </w:rPr>
        <w:t xml:space="preserve"> </w:t>
      </w:r>
      <w:r w:rsidRPr="00FF4DD9">
        <w:rPr>
          <w:sz w:val="24"/>
          <w:szCs w:val="24"/>
        </w:rPr>
        <w:t>(</w:t>
      </w:r>
      <w:proofErr w:type="spellStart"/>
      <w:r w:rsidRPr="00FF4DD9">
        <w:rPr>
          <w:sz w:val="24"/>
          <w:szCs w:val="24"/>
        </w:rPr>
        <w:t>Cmax</w:t>
      </w:r>
      <w:proofErr w:type="spellEnd"/>
      <w:r w:rsidRPr="00FF4DD9">
        <w:rPr>
          <w:sz w:val="24"/>
          <w:szCs w:val="24"/>
        </w:rPr>
        <w:t xml:space="preserve">) på 3,45µg/ml, efter 2,45 timer efter intramuskulær administration. 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 xml:space="preserve">Hos svin nås </w:t>
      </w:r>
      <w:proofErr w:type="spellStart"/>
      <w:r w:rsidRPr="00FF4DD9">
        <w:rPr>
          <w:sz w:val="24"/>
          <w:szCs w:val="24"/>
        </w:rPr>
        <w:t>Cmax</w:t>
      </w:r>
      <w:proofErr w:type="spellEnd"/>
      <w:r w:rsidRPr="00FF4DD9">
        <w:rPr>
          <w:sz w:val="24"/>
          <w:szCs w:val="24"/>
        </w:rPr>
        <w:t xml:space="preserve"> (3,54µg/ml) 2 timer efter intramuskulær administration.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/>
        <w:rPr>
          <w:sz w:val="24"/>
          <w:szCs w:val="24"/>
        </w:rPr>
      </w:pP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fordeles hovedsageligt til det ekstracellulære rum. Fordeling i væv fremmes af </w:t>
      </w:r>
      <w:proofErr w:type="spellStart"/>
      <w:r w:rsidRPr="00FF4DD9">
        <w:rPr>
          <w:sz w:val="24"/>
          <w:szCs w:val="24"/>
        </w:rPr>
        <w:t>amoxicillins</w:t>
      </w:r>
      <w:proofErr w:type="spellEnd"/>
      <w:r w:rsidRPr="00FF4DD9">
        <w:rPr>
          <w:sz w:val="24"/>
          <w:szCs w:val="24"/>
        </w:rPr>
        <w:t xml:space="preserve"> lave plasmaproteinbindingsgrad (17 %). Koncentrationen i lunge-, </w:t>
      </w:r>
      <w:proofErr w:type="spellStart"/>
      <w:r w:rsidRPr="00FF4DD9">
        <w:rPr>
          <w:sz w:val="24"/>
          <w:szCs w:val="24"/>
        </w:rPr>
        <w:t>pleura</w:t>
      </w:r>
      <w:proofErr w:type="spellEnd"/>
      <w:r w:rsidRPr="00FF4DD9">
        <w:rPr>
          <w:sz w:val="24"/>
          <w:szCs w:val="24"/>
        </w:rPr>
        <w:t xml:space="preserve">- og </w:t>
      </w:r>
      <w:proofErr w:type="spellStart"/>
      <w:r w:rsidRPr="00FF4DD9">
        <w:rPr>
          <w:sz w:val="24"/>
          <w:szCs w:val="24"/>
        </w:rPr>
        <w:lastRenderedPageBreak/>
        <w:t>bronchialvæv</w:t>
      </w:r>
      <w:proofErr w:type="spellEnd"/>
      <w:r w:rsidRPr="00FF4DD9">
        <w:rPr>
          <w:sz w:val="24"/>
          <w:szCs w:val="24"/>
        </w:rPr>
        <w:t xml:space="preserve"> er på niveau med plasmakoncentrationen. </w:t>
      </w: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diffunderer ind i </w:t>
      </w:r>
      <w:proofErr w:type="spellStart"/>
      <w:r w:rsidRPr="00FF4DD9">
        <w:rPr>
          <w:sz w:val="24"/>
          <w:szCs w:val="24"/>
        </w:rPr>
        <w:t>pleural</w:t>
      </w:r>
      <w:proofErr w:type="spellEnd"/>
      <w:r w:rsidRPr="00FF4DD9">
        <w:rPr>
          <w:sz w:val="24"/>
          <w:szCs w:val="24"/>
        </w:rPr>
        <w:t xml:space="preserve">- og </w:t>
      </w:r>
      <w:proofErr w:type="spellStart"/>
      <w:r w:rsidRPr="00FF4DD9">
        <w:rPr>
          <w:sz w:val="24"/>
          <w:szCs w:val="24"/>
        </w:rPr>
        <w:t>synovialvæske</w:t>
      </w:r>
      <w:proofErr w:type="spellEnd"/>
      <w:r w:rsidRPr="00FF4DD9">
        <w:rPr>
          <w:sz w:val="24"/>
          <w:szCs w:val="24"/>
        </w:rPr>
        <w:t xml:space="preserve"> og ind i lymfatisk væv. 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nedbrydes i leveren ved hydrolyse af beta-</w:t>
      </w:r>
      <w:proofErr w:type="spellStart"/>
      <w:r w:rsidRPr="00FF4DD9">
        <w:rPr>
          <w:sz w:val="24"/>
          <w:szCs w:val="24"/>
        </w:rPr>
        <w:t>lactam</w:t>
      </w:r>
      <w:proofErr w:type="spellEnd"/>
      <w:r w:rsidRPr="00FF4DD9">
        <w:rPr>
          <w:sz w:val="24"/>
          <w:szCs w:val="24"/>
        </w:rPr>
        <w:t xml:space="preserve"> ringen, hvorved dannes inaktiv penicillinsyre (20%).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proofErr w:type="spellStart"/>
      <w:r w:rsidRPr="00FF4DD9">
        <w:rPr>
          <w:sz w:val="24"/>
          <w:szCs w:val="24"/>
        </w:rPr>
        <w:t>Amoxicillin</w:t>
      </w:r>
      <w:proofErr w:type="spellEnd"/>
      <w:r w:rsidRPr="00FF4DD9">
        <w:rPr>
          <w:sz w:val="24"/>
          <w:szCs w:val="24"/>
        </w:rPr>
        <w:t xml:space="preserve"> bliver hovedsageligt udskilt i aktiv form gennem nyrerne, og sekundært gennem galde og mælk.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5.3</w:t>
      </w:r>
      <w:r w:rsidRPr="00FF4DD9">
        <w:rPr>
          <w:b/>
          <w:sz w:val="24"/>
          <w:szCs w:val="24"/>
        </w:rPr>
        <w:tab/>
        <w:t>Miljømæssige forhold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>Ingen</w:t>
      </w:r>
      <w:r>
        <w:rPr>
          <w:sz w:val="24"/>
          <w:szCs w:val="24"/>
        </w:rPr>
        <w:t>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jc w:val="both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6.</w:t>
      </w:r>
      <w:r w:rsidRPr="00FF4DD9">
        <w:rPr>
          <w:b/>
          <w:sz w:val="24"/>
          <w:szCs w:val="24"/>
        </w:rPr>
        <w:tab/>
        <w:t>FARMACEUTISKE OPLYSNINGER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6.1</w:t>
      </w:r>
      <w:r w:rsidRPr="00FF4DD9">
        <w:rPr>
          <w:b/>
          <w:sz w:val="24"/>
          <w:szCs w:val="24"/>
        </w:rPr>
        <w:tab/>
        <w:t>Hjælpestoffer</w:t>
      </w:r>
    </w:p>
    <w:p w:rsidR="00B320BF" w:rsidRPr="00E61DA0" w:rsidRDefault="00B320BF" w:rsidP="00B320BF">
      <w:pPr>
        <w:ind w:left="851" w:hanging="851"/>
        <w:rPr>
          <w:sz w:val="24"/>
          <w:szCs w:val="24"/>
          <w:lang w:val="en-US"/>
        </w:rPr>
      </w:pPr>
      <w:r w:rsidRPr="00FF4DD9">
        <w:rPr>
          <w:sz w:val="24"/>
          <w:szCs w:val="24"/>
        </w:rPr>
        <w:tab/>
      </w:r>
      <w:r w:rsidRPr="00E61DA0">
        <w:rPr>
          <w:sz w:val="24"/>
          <w:szCs w:val="24"/>
          <w:lang w:val="en-US"/>
        </w:rPr>
        <w:t xml:space="preserve">Silica, </w:t>
      </w:r>
      <w:proofErr w:type="spellStart"/>
      <w:r w:rsidRPr="00E61DA0">
        <w:rPr>
          <w:sz w:val="24"/>
          <w:szCs w:val="24"/>
          <w:lang w:val="en-US"/>
        </w:rPr>
        <w:t>kolloid</w:t>
      </w:r>
      <w:proofErr w:type="spellEnd"/>
      <w:r w:rsidRPr="00E61DA0">
        <w:rPr>
          <w:sz w:val="24"/>
          <w:szCs w:val="24"/>
          <w:lang w:val="en-US"/>
        </w:rPr>
        <w:t xml:space="preserve"> </w:t>
      </w:r>
      <w:proofErr w:type="spellStart"/>
      <w:r w:rsidRPr="00E61DA0">
        <w:rPr>
          <w:sz w:val="24"/>
          <w:szCs w:val="24"/>
          <w:lang w:val="en-US"/>
        </w:rPr>
        <w:t>vandfrit</w:t>
      </w:r>
      <w:proofErr w:type="spellEnd"/>
    </w:p>
    <w:p w:rsidR="00B320BF" w:rsidRPr="00E61DA0" w:rsidRDefault="00B320BF" w:rsidP="00B320BF">
      <w:pPr>
        <w:ind w:left="851"/>
        <w:rPr>
          <w:sz w:val="24"/>
          <w:szCs w:val="24"/>
          <w:lang w:val="en-US"/>
        </w:rPr>
      </w:pPr>
      <w:proofErr w:type="spellStart"/>
      <w:r w:rsidRPr="00E61DA0">
        <w:rPr>
          <w:sz w:val="24"/>
          <w:szCs w:val="24"/>
          <w:lang w:val="en-US"/>
        </w:rPr>
        <w:t>Sorbitanoleat</w:t>
      </w:r>
      <w:proofErr w:type="spellEnd"/>
    </w:p>
    <w:p w:rsidR="00B320BF" w:rsidRPr="00E61DA0" w:rsidRDefault="00B320BF" w:rsidP="00B320BF">
      <w:pPr>
        <w:ind w:left="851"/>
        <w:rPr>
          <w:sz w:val="24"/>
          <w:szCs w:val="24"/>
          <w:lang w:val="en-US"/>
        </w:rPr>
      </w:pPr>
      <w:proofErr w:type="spellStart"/>
      <w:r w:rsidRPr="00E61DA0">
        <w:rPr>
          <w:sz w:val="24"/>
          <w:szCs w:val="24"/>
          <w:lang w:val="en-US"/>
        </w:rPr>
        <w:t>Propylenglycol</w:t>
      </w:r>
      <w:proofErr w:type="spellEnd"/>
      <w:r w:rsidRPr="00E61DA0">
        <w:rPr>
          <w:sz w:val="24"/>
          <w:szCs w:val="24"/>
          <w:lang w:val="en-US"/>
        </w:rPr>
        <w:t xml:space="preserve"> </w:t>
      </w:r>
      <w:proofErr w:type="spellStart"/>
      <w:r w:rsidRPr="00E61DA0">
        <w:rPr>
          <w:sz w:val="24"/>
          <w:szCs w:val="24"/>
          <w:lang w:val="en-US"/>
        </w:rPr>
        <w:t>dicaprylocaprat</w:t>
      </w:r>
      <w:proofErr w:type="spellEnd"/>
    </w:p>
    <w:p w:rsidR="00B320BF" w:rsidRPr="00E61DA0" w:rsidRDefault="00B320BF" w:rsidP="00B320BF">
      <w:pPr>
        <w:ind w:left="851" w:hanging="851"/>
        <w:rPr>
          <w:sz w:val="24"/>
          <w:szCs w:val="24"/>
          <w:lang w:val="en-US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6.2</w:t>
      </w:r>
      <w:r w:rsidRPr="00FF4DD9">
        <w:rPr>
          <w:b/>
          <w:sz w:val="24"/>
          <w:szCs w:val="24"/>
        </w:rPr>
        <w:tab/>
        <w:t>Uforligeligheder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>Da der ikke foreligger undersøgelser vedrørende eventuelle uforligneligheder, må dette lægemiddel ikke blandes med andre præparater.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6.3</w:t>
      </w:r>
      <w:r w:rsidRPr="00FF4DD9">
        <w:rPr>
          <w:b/>
          <w:sz w:val="24"/>
          <w:szCs w:val="24"/>
        </w:rPr>
        <w:tab/>
        <w:t>Opbevaringstid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>I salgspakning: 2 år.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Efter første åbning af den indre emballage: 28 d</w:t>
      </w:r>
      <w:r>
        <w:rPr>
          <w:sz w:val="24"/>
          <w:szCs w:val="24"/>
        </w:rPr>
        <w:t>age</w:t>
      </w:r>
      <w:r w:rsidRPr="00FF4DD9">
        <w:rPr>
          <w:sz w:val="24"/>
          <w:szCs w:val="24"/>
        </w:rPr>
        <w:t>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6.4</w:t>
      </w:r>
      <w:r w:rsidRPr="00FF4DD9">
        <w:rPr>
          <w:b/>
          <w:sz w:val="24"/>
          <w:szCs w:val="24"/>
        </w:rPr>
        <w:tab/>
        <w:t>Særlige opbevaringsforhold</w:t>
      </w:r>
    </w:p>
    <w:p w:rsidR="00B320BF" w:rsidRPr="00FF4DD9" w:rsidRDefault="00B320BF" w:rsidP="00B320BF">
      <w:pPr>
        <w:ind w:left="851"/>
        <w:rPr>
          <w:noProof/>
          <w:sz w:val="24"/>
          <w:szCs w:val="24"/>
        </w:rPr>
      </w:pPr>
      <w:r w:rsidRPr="00FF4DD9">
        <w:rPr>
          <w:sz w:val="24"/>
          <w:szCs w:val="24"/>
        </w:rPr>
        <w:t xml:space="preserve">Må ikke opbevares </w:t>
      </w:r>
      <w:r>
        <w:rPr>
          <w:sz w:val="24"/>
          <w:szCs w:val="24"/>
        </w:rPr>
        <w:t>koldt</w:t>
      </w:r>
      <w:r w:rsidRPr="00FF4DD9">
        <w:rPr>
          <w:sz w:val="24"/>
          <w:szCs w:val="24"/>
        </w:rPr>
        <w:t>. Beskyttes mod frost</w:t>
      </w:r>
      <w:r w:rsidRPr="00FF4DD9">
        <w:rPr>
          <w:noProof/>
          <w:sz w:val="24"/>
          <w:szCs w:val="24"/>
        </w:rPr>
        <w:t>.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Opbevar hætteglasset i yder</w:t>
      </w:r>
      <w:r>
        <w:rPr>
          <w:sz w:val="24"/>
          <w:szCs w:val="24"/>
        </w:rPr>
        <w:t>emballagen</w:t>
      </w:r>
      <w:r w:rsidRPr="00FF4DD9">
        <w:rPr>
          <w:sz w:val="24"/>
          <w:szCs w:val="24"/>
        </w:rPr>
        <w:t xml:space="preserve"> for at beskytte mod lys.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6.5</w:t>
      </w:r>
      <w:r w:rsidRPr="00FF4DD9">
        <w:rPr>
          <w:b/>
          <w:sz w:val="24"/>
          <w:szCs w:val="24"/>
        </w:rPr>
        <w:tab/>
        <w:t>Emballage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 xml:space="preserve">Flerlags plastikhætteglas - (polypropylen / </w:t>
      </w:r>
      <w:proofErr w:type="spellStart"/>
      <w:r w:rsidRPr="00FF4DD9">
        <w:rPr>
          <w:sz w:val="24"/>
          <w:szCs w:val="24"/>
        </w:rPr>
        <w:t>ethylen</w:t>
      </w:r>
      <w:proofErr w:type="spellEnd"/>
      <w:r w:rsidRPr="00FF4DD9">
        <w:rPr>
          <w:sz w:val="24"/>
          <w:szCs w:val="24"/>
        </w:rPr>
        <w:t xml:space="preserve"> vinyl </w:t>
      </w:r>
      <w:proofErr w:type="spellStart"/>
      <w:r w:rsidRPr="00FF4DD9">
        <w:rPr>
          <w:sz w:val="24"/>
          <w:szCs w:val="24"/>
        </w:rPr>
        <w:t>alcohol</w:t>
      </w:r>
      <w:proofErr w:type="spellEnd"/>
      <w:r w:rsidRPr="00FF4DD9">
        <w:rPr>
          <w:sz w:val="24"/>
          <w:szCs w:val="24"/>
        </w:rPr>
        <w:t xml:space="preserve"> (EVOH) / polypropylen) med </w:t>
      </w:r>
      <w:proofErr w:type="spellStart"/>
      <w:r w:rsidRPr="00FF4DD9">
        <w:rPr>
          <w:sz w:val="24"/>
          <w:szCs w:val="24"/>
        </w:rPr>
        <w:t>chlorobutyl</w:t>
      </w:r>
      <w:proofErr w:type="spellEnd"/>
      <w:r w:rsidRPr="00FF4DD9">
        <w:rPr>
          <w:sz w:val="24"/>
          <w:szCs w:val="24"/>
        </w:rPr>
        <w:t xml:space="preserve"> gummipropper (type II) og Aluminium og plastik flip-</w:t>
      </w:r>
      <w:proofErr w:type="spellStart"/>
      <w:r w:rsidRPr="00FF4DD9">
        <w:rPr>
          <w:sz w:val="24"/>
          <w:szCs w:val="24"/>
        </w:rPr>
        <w:t>off</w:t>
      </w:r>
      <w:proofErr w:type="spellEnd"/>
      <w:r w:rsidRPr="00FF4DD9">
        <w:rPr>
          <w:sz w:val="24"/>
          <w:szCs w:val="24"/>
        </w:rPr>
        <w:t xml:space="preserve"> hætte.</w:t>
      </w:r>
    </w:p>
    <w:p w:rsidR="00B320BF" w:rsidRPr="00FF4DD9" w:rsidRDefault="00B320BF" w:rsidP="00B320BF">
      <w:pPr>
        <w:ind w:left="851" w:hanging="851"/>
        <w:rPr>
          <w:sz w:val="24"/>
          <w:szCs w:val="24"/>
          <w:highlight w:val="yellow"/>
        </w:rPr>
      </w:pP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  <w:u w:val="single"/>
        </w:rPr>
        <w:t>Pakningsstørrelser</w:t>
      </w:r>
      <w:r w:rsidRPr="00FF4DD9">
        <w:rPr>
          <w:sz w:val="24"/>
          <w:szCs w:val="24"/>
        </w:rPr>
        <w:t>:</w:t>
      </w:r>
    </w:p>
    <w:p w:rsidR="00B320BF" w:rsidRPr="00FF4DD9" w:rsidRDefault="00B320BF" w:rsidP="00B320B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FF4DD9">
        <w:rPr>
          <w:sz w:val="24"/>
          <w:szCs w:val="24"/>
        </w:rPr>
        <w:t xml:space="preserve">100 ml </w:t>
      </w:r>
    </w:p>
    <w:p w:rsidR="00B320BF" w:rsidRPr="00FF4DD9" w:rsidRDefault="00B320BF" w:rsidP="00B320B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FF4DD9">
        <w:rPr>
          <w:sz w:val="24"/>
          <w:szCs w:val="24"/>
        </w:rPr>
        <w:t xml:space="preserve">12 x 100 ml </w:t>
      </w:r>
    </w:p>
    <w:p w:rsidR="00B320BF" w:rsidRPr="00FF4DD9" w:rsidRDefault="00B320BF" w:rsidP="00B320B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FF4DD9">
        <w:rPr>
          <w:sz w:val="24"/>
          <w:szCs w:val="24"/>
        </w:rPr>
        <w:t xml:space="preserve">250 ml </w:t>
      </w:r>
    </w:p>
    <w:p w:rsidR="00B320BF" w:rsidRPr="00FF4DD9" w:rsidRDefault="00B320BF" w:rsidP="00B320B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FF4DD9">
        <w:rPr>
          <w:sz w:val="24"/>
          <w:szCs w:val="24"/>
        </w:rPr>
        <w:t xml:space="preserve">12 x 250 ml 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Ikke alle pakningsstørrelser er nødvendigvis markedsført.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6.6</w:t>
      </w:r>
      <w:r w:rsidRPr="00FF4DD9">
        <w:rPr>
          <w:b/>
          <w:sz w:val="24"/>
          <w:szCs w:val="24"/>
        </w:rPr>
        <w:tab/>
        <w:t>Særlige forholdsregler ved bortskaffelse af rester af lægemidlet eller affald</w:t>
      </w:r>
    </w:p>
    <w:p w:rsidR="00B320BF" w:rsidRPr="00FF4DD9" w:rsidRDefault="00B320BF" w:rsidP="00B320BF">
      <w:pPr>
        <w:ind w:left="851"/>
        <w:rPr>
          <w:sz w:val="24"/>
          <w:szCs w:val="24"/>
        </w:rPr>
      </w:pPr>
      <w:r w:rsidRPr="00FF4DD9">
        <w:rPr>
          <w:sz w:val="24"/>
          <w:szCs w:val="24"/>
        </w:rPr>
        <w:t>Ikke anvendte veterinære lægemidler, samt affald heraf, bør destrueres i henhold til lokale retningslinjer.</w:t>
      </w: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7.</w:t>
      </w:r>
      <w:r w:rsidRPr="00FF4DD9">
        <w:rPr>
          <w:b/>
          <w:sz w:val="24"/>
          <w:szCs w:val="24"/>
        </w:rPr>
        <w:tab/>
        <w:t>INDEHAVER AF MARKEDSFØRINGSTILLADELSEN</w:t>
      </w:r>
    </w:p>
    <w:p w:rsidR="004000A7" w:rsidRPr="0048485A" w:rsidRDefault="004000A7" w:rsidP="004000A7">
      <w:pPr>
        <w:ind w:left="851" w:right="-318"/>
        <w:rPr>
          <w:sz w:val="24"/>
          <w:szCs w:val="24"/>
        </w:rPr>
      </w:pPr>
      <w:proofErr w:type="spellStart"/>
      <w:r w:rsidRPr="0048485A">
        <w:rPr>
          <w:sz w:val="24"/>
          <w:szCs w:val="24"/>
        </w:rPr>
        <w:t>Ceva</w:t>
      </w:r>
      <w:proofErr w:type="spellEnd"/>
      <w:r w:rsidRPr="0048485A">
        <w:rPr>
          <w:sz w:val="24"/>
          <w:szCs w:val="24"/>
        </w:rPr>
        <w:t xml:space="preserve"> </w:t>
      </w:r>
      <w:proofErr w:type="spellStart"/>
      <w:r w:rsidRPr="0048485A">
        <w:rPr>
          <w:sz w:val="24"/>
          <w:szCs w:val="24"/>
        </w:rPr>
        <w:t>Santé</w:t>
      </w:r>
      <w:proofErr w:type="spellEnd"/>
      <w:r w:rsidRPr="0048485A">
        <w:rPr>
          <w:sz w:val="24"/>
          <w:szCs w:val="24"/>
        </w:rPr>
        <w:t xml:space="preserve"> </w:t>
      </w:r>
      <w:proofErr w:type="spellStart"/>
      <w:r w:rsidRPr="0048485A">
        <w:rPr>
          <w:sz w:val="24"/>
          <w:szCs w:val="24"/>
        </w:rPr>
        <w:t>Animale</w:t>
      </w:r>
      <w:proofErr w:type="spellEnd"/>
    </w:p>
    <w:p w:rsidR="004000A7" w:rsidRPr="0048485A" w:rsidRDefault="004000A7" w:rsidP="004000A7">
      <w:pPr>
        <w:ind w:left="851" w:right="-318"/>
        <w:rPr>
          <w:sz w:val="24"/>
          <w:szCs w:val="24"/>
        </w:rPr>
      </w:pPr>
      <w:r w:rsidRPr="0048485A">
        <w:rPr>
          <w:sz w:val="24"/>
          <w:szCs w:val="24"/>
        </w:rPr>
        <w:t xml:space="preserve">10 avenue de la </w:t>
      </w:r>
      <w:proofErr w:type="spellStart"/>
      <w:r w:rsidRPr="0048485A">
        <w:rPr>
          <w:sz w:val="24"/>
          <w:szCs w:val="24"/>
        </w:rPr>
        <w:t>Ballastière</w:t>
      </w:r>
      <w:proofErr w:type="spellEnd"/>
    </w:p>
    <w:p w:rsidR="004000A7" w:rsidRPr="0048485A" w:rsidRDefault="004000A7" w:rsidP="004000A7">
      <w:pPr>
        <w:ind w:left="851" w:right="-318"/>
        <w:rPr>
          <w:sz w:val="24"/>
          <w:szCs w:val="24"/>
        </w:rPr>
      </w:pPr>
      <w:r w:rsidRPr="0048485A">
        <w:rPr>
          <w:sz w:val="24"/>
          <w:szCs w:val="24"/>
        </w:rPr>
        <w:t xml:space="preserve">33500 </w:t>
      </w:r>
      <w:proofErr w:type="spellStart"/>
      <w:r w:rsidRPr="0048485A">
        <w:rPr>
          <w:sz w:val="24"/>
          <w:szCs w:val="24"/>
        </w:rPr>
        <w:t>Libourne</w:t>
      </w:r>
      <w:proofErr w:type="spellEnd"/>
    </w:p>
    <w:p w:rsidR="004000A7" w:rsidRPr="0048485A" w:rsidRDefault="004000A7" w:rsidP="004000A7">
      <w:pPr>
        <w:ind w:left="851" w:right="-318"/>
        <w:rPr>
          <w:sz w:val="24"/>
          <w:szCs w:val="24"/>
        </w:rPr>
      </w:pPr>
      <w:r w:rsidRPr="0048485A">
        <w:rPr>
          <w:sz w:val="24"/>
          <w:szCs w:val="24"/>
        </w:rPr>
        <w:t>Frankrig</w:t>
      </w:r>
    </w:p>
    <w:p w:rsidR="004000A7" w:rsidRPr="0048485A" w:rsidRDefault="004000A7" w:rsidP="004000A7">
      <w:pPr>
        <w:ind w:left="851" w:right="-318"/>
        <w:rPr>
          <w:sz w:val="24"/>
          <w:szCs w:val="24"/>
        </w:rPr>
      </w:pPr>
    </w:p>
    <w:p w:rsidR="004000A7" w:rsidRPr="0048485A" w:rsidRDefault="004000A7" w:rsidP="004000A7">
      <w:pPr>
        <w:ind w:left="851" w:right="-318"/>
        <w:rPr>
          <w:b/>
          <w:sz w:val="24"/>
          <w:szCs w:val="24"/>
        </w:rPr>
      </w:pPr>
      <w:r w:rsidRPr="0048485A">
        <w:rPr>
          <w:b/>
          <w:sz w:val="24"/>
          <w:szCs w:val="24"/>
        </w:rPr>
        <w:t>Repræsentant</w:t>
      </w:r>
    </w:p>
    <w:p w:rsidR="004000A7" w:rsidRPr="004A78C9" w:rsidRDefault="004000A7" w:rsidP="004000A7">
      <w:pPr>
        <w:ind w:left="851" w:right="-318"/>
        <w:rPr>
          <w:sz w:val="24"/>
          <w:szCs w:val="24"/>
          <w:lang w:val="en-US"/>
        </w:rPr>
      </w:pPr>
      <w:proofErr w:type="spellStart"/>
      <w:r w:rsidRPr="004A78C9">
        <w:rPr>
          <w:sz w:val="24"/>
          <w:szCs w:val="24"/>
          <w:lang w:val="en-US"/>
        </w:rPr>
        <w:t>Ceva</w:t>
      </w:r>
      <w:proofErr w:type="spellEnd"/>
      <w:r w:rsidRPr="004A78C9">
        <w:rPr>
          <w:sz w:val="24"/>
          <w:szCs w:val="24"/>
          <w:lang w:val="en-US"/>
        </w:rPr>
        <w:t xml:space="preserve"> Animal Health A/S</w:t>
      </w:r>
    </w:p>
    <w:p w:rsidR="00BA0C98" w:rsidRPr="004B53E6" w:rsidRDefault="00BA0C98" w:rsidP="00BA0C98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4B53E6">
        <w:rPr>
          <w:sz w:val="24"/>
          <w:szCs w:val="24"/>
          <w:lang w:val="en-US"/>
        </w:rPr>
        <w:t>Porschevej</w:t>
      </w:r>
      <w:proofErr w:type="spellEnd"/>
      <w:r w:rsidRPr="004B53E6">
        <w:rPr>
          <w:sz w:val="24"/>
          <w:szCs w:val="24"/>
          <w:lang w:val="en-US"/>
        </w:rPr>
        <w:t xml:space="preserve"> 12 </w:t>
      </w:r>
    </w:p>
    <w:p w:rsidR="00BA0C98" w:rsidRPr="006B1E8D" w:rsidRDefault="00BA0C98" w:rsidP="00BA0C98">
      <w:pPr>
        <w:tabs>
          <w:tab w:val="left" w:pos="851"/>
        </w:tabs>
        <w:ind w:left="851"/>
        <w:rPr>
          <w:bCs/>
          <w:sz w:val="24"/>
          <w:szCs w:val="24"/>
        </w:rPr>
      </w:pPr>
      <w:r w:rsidRPr="003A2045">
        <w:rPr>
          <w:sz w:val="24"/>
          <w:szCs w:val="24"/>
        </w:rPr>
        <w:t>7100 Vejle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8.</w:t>
      </w:r>
      <w:r w:rsidRPr="00FF4DD9">
        <w:rPr>
          <w:b/>
          <w:sz w:val="24"/>
          <w:szCs w:val="24"/>
        </w:rPr>
        <w:tab/>
        <w:t>MARKEDSFØRINGSTILLADELSESNUMMER (NUMRE)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>51404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9.</w:t>
      </w:r>
      <w:r w:rsidRPr="00FF4DD9">
        <w:rPr>
          <w:b/>
          <w:sz w:val="24"/>
          <w:szCs w:val="24"/>
        </w:rPr>
        <w:tab/>
        <w:t>DATO FOR FØRSTE MARKEDSFØRINGSTILLADELSE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  <w:t>9. januar 2013</w:t>
      </w:r>
    </w:p>
    <w:p w:rsidR="00B320BF" w:rsidRPr="00FF4DD9" w:rsidRDefault="00B320BF" w:rsidP="004000A7">
      <w:pPr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10.</w:t>
      </w:r>
      <w:r w:rsidRPr="00FF4DD9">
        <w:rPr>
          <w:b/>
          <w:sz w:val="24"/>
          <w:szCs w:val="24"/>
        </w:rPr>
        <w:tab/>
        <w:t>DATO FOR ÆNDRING AF TEKSTEN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  <w:r w:rsidRPr="00FF4DD9">
        <w:rPr>
          <w:sz w:val="24"/>
          <w:szCs w:val="24"/>
        </w:rPr>
        <w:tab/>
      </w:r>
      <w:r w:rsidR="00E1036B">
        <w:rPr>
          <w:sz w:val="24"/>
          <w:szCs w:val="24"/>
        </w:rPr>
        <w:t>9</w:t>
      </w:r>
      <w:r w:rsidR="00A50F61" w:rsidRPr="00A50F61">
        <w:rPr>
          <w:sz w:val="24"/>
          <w:szCs w:val="24"/>
        </w:rPr>
        <w:t>. maj 2023</w:t>
      </w:r>
    </w:p>
    <w:p w:rsidR="00B320BF" w:rsidRPr="00FF4DD9" w:rsidRDefault="00B320BF" w:rsidP="00B320BF">
      <w:pPr>
        <w:ind w:left="851" w:hanging="851"/>
        <w:rPr>
          <w:sz w:val="24"/>
          <w:szCs w:val="24"/>
        </w:rPr>
      </w:pPr>
    </w:p>
    <w:p w:rsidR="00B320BF" w:rsidRPr="00FF4DD9" w:rsidRDefault="00B320BF" w:rsidP="00B320BF">
      <w:pPr>
        <w:ind w:left="851" w:hanging="851"/>
        <w:rPr>
          <w:b/>
          <w:sz w:val="24"/>
          <w:szCs w:val="24"/>
        </w:rPr>
      </w:pPr>
      <w:r w:rsidRPr="00FF4DD9">
        <w:rPr>
          <w:b/>
          <w:sz w:val="24"/>
          <w:szCs w:val="24"/>
        </w:rPr>
        <w:t>11.</w:t>
      </w:r>
      <w:r w:rsidRPr="00FF4DD9">
        <w:rPr>
          <w:b/>
          <w:sz w:val="24"/>
          <w:szCs w:val="24"/>
        </w:rPr>
        <w:tab/>
        <w:t>UDLEVERINGSBESTEMMELSE</w:t>
      </w:r>
    </w:p>
    <w:p w:rsidR="00B320BF" w:rsidRPr="00FF4DD9" w:rsidRDefault="00B320BF" w:rsidP="00B320BF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FF4DD9">
        <w:rPr>
          <w:szCs w:val="24"/>
        </w:rPr>
        <w:tab/>
        <w:t>BP</w:t>
      </w:r>
    </w:p>
    <w:p w:rsidR="00B320BF" w:rsidRPr="00652D04" w:rsidRDefault="00B320BF" w:rsidP="00B320BF"/>
    <w:p w:rsidR="0003527F" w:rsidRPr="00B320BF" w:rsidRDefault="0003527F" w:rsidP="00B320BF"/>
    <w:sectPr w:rsidR="0003527F" w:rsidRPr="00B320BF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0BF" w:rsidRDefault="00B320BF">
      <w:r>
        <w:separator/>
      </w:r>
    </w:p>
  </w:endnote>
  <w:endnote w:type="continuationSeparator" w:id="0">
    <w:p w:rsidR="00B320BF" w:rsidRDefault="00B3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574EE7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574EE7">
      <w:rPr>
        <w:i/>
        <w:snapToGrid w:val="0"/>
        <w:sz w:val="18"/>
      </w:rPr>
      <w:t>Vetrimoxin</w:t>
    </w:r>
    <w:proofErr w:type="spellEnd"/>
    <w:r w:rsidRPr="00574EE7">
      <w:rPr>
        <w:i/>
        <w:snapToGrid w:val="0"/>
        <w:sz w:val="18"/>
      </w:rPr>
      <w:t xml:space="preserve"> L.A., injektionsvæske, suspension 150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320BF">
      <w:rPr>
        <w:i/>
        <w:noProof/>
        <w:snapToGrid w:val="0"/>
        <w:sz w:val="18"/>
      </w:rPr>
      <w:t>Dokument838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0BF" w:rsidRDefault="00B320BF">
      <w:r>
        <w:separator/>
      </w:r>
    </w:p>
  </w:footnote>
  <w:footnote w:type="continuationSeparator" w:id="0">
    <w:p w:rsidR="00B320BF" w:rsidRDefault="00B3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8823BE"/>
    <w:multiLevelType w:val="hybridMultilevel"/>
    <w:tmpl w:val="24DC812A"/>
    <w:lvl w:ilvl="0" w:tplc="D24AFFE8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BF"/>
    <w:rsid w:val="0003527F"/>
    <w:rsid w:val="00065C7D"/>
    <w:rsid w:val="00072E48"/>
    <w:rsid w:val="000C6CD4"/>
    <w:rsid w:val="001577E4"/>
    <w:rsid w:val="001858CA"/>
    <w:rsid w:val="001C4AEF"/>
    <w:rsid w:val="001D3CC5"/>
    <w:rsid w:val="00322BDE"/>
    <w:rsid w:val="003A2045"/>
    <w:rsid w:val="004000A7"/>
    <w:rsid w:val="00406EE7"/>
    <w:rsid w:val="00407013"/>
    <w:rsid w:val="0048485A"/>
    <w:rsid w:val="004A62CC"/>
    <w:rsid w:val="00565A74"/>
    <w:rsid w:val="00574EE7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835FE1"/>
    <w:rsid w:val="009202AE"/>
    <w:rsid w:val="00932676"/>
    <w:rsid w:val="009D66C6"/>
    <w:rsid w:val="00A50F61"/>
    <w:rsid w:val="00A96525"/>
    <w:rsid w:val="00AE29E5"/>
    <w:rsid w:val="00AE5757"/>
    <w:rsid w:val="00B25EB8"/>
    <w:rsid w:val="00B320BF"/>
    <w:rsid w:val="00BA0C98"/>
    <w:rsid w:val="00BC634B"/>
    <w:rsid w:val="00BF2AE0"/>
    <w:rsid w:val="00C479BF"/>
    <w:rsid w:val="00D567AA"/>
    <w:rsid w:val="00DA2F29"/>
    <w:rsid w:val="00DD6D71"/>
    <w:rsid w:val="00DF32BE"/>
    <w:rsid w:val="00E1036B"/>
    <w:rsid w:val="00E14F0A"/>
    <w:rsid w:val="00EB5778"/>
    <w:rsid w:val="00EE5253"/>
    <w:rsid w:val="00F542DC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D05F3"/>
  <w15:chartTrackingRefBased/>
  <w15:docId w15:val="{C4FDB714-6895-4C06-A092-CF153E81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character" w:customStyle="1" w:styleId="apple-converted-space">
    <w:name w:val="apple-converted-space"/>
    <w:basedOn w:val="Standardskrifttypeiafsnit"/>
    <w:rsid w:val="00B320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11</TotalTime>
  <Pages>6</Pages>
  <Words>1418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2022073822_x000d_
SPC 4.11 tilbageholdesestid for svin ændret fra 20 til 16 døgn.</dc:description>
  <cp:lastModifiedBy>Betty Winther Andersen</cp:lastModifiedBy>
  <cp:revision>6</cp:revision>
  <dcterms:created xsi:type="dcterms:W3CDTF">2023-04-28T11:58:00Z</dcterms:created>
  <dcterms:modified xsi:type="dcterms:W3CDTF">2023-05-09T09:12:00Z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