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BD310" w14:textId="77777777" w:rsidR="005B0036" w:rsidRPr="008F49E1" w:rsidRDefault="005B0036" w:rsidP="005B0036">
      <w:pPr>
        <w:rPr>
          <w:sz w:val="24"/>
          <w:szCs w:val="24"/>
        </w:rPr>
      </w:pPr>
      <w:r w:rsidRPr="005B0036">
        <w:rPr>
          <w:noProof/>
          <w:sz w:val="24"/>
          <w:szCs w:val="24"/>
          <w:lang w:eastAsia="da-DK"/>
        </w:rPr>
        <w:drawing>
          <wp:inline distT="0" distB="0" distL="0" distR="0" wp14:anchorId="5B78E7B6" wp14:editId="485E08A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1139C32" w14:textId="77777777" w:rsidR="00C479BF" w:rsidRPr="00C20AF7" w:rsidRDefault="00C479BF" w:rsidP="005B0036">
      <w:pPr>
        <w:rPr>
          <w:sz w:val="24"/>
          <w:szCs w:val="24"/>
        </w:rPr>
      </w:pPr>
    </w:p>
    <w:p w14:paraId="585C0979" w14:textId="45400F79" w:rsidR="005B0036" w:rsidRPr="00406EE7" w:rsidRDefault="005B0036" w:rsidP="005B0036">
      <w:pPr>
        <w:tabs>
          <w:tab w:val="right" w:pos="9356"/>
        </w:tabs>
        <w:rPr>
          <w:b/>
          <w:sz w:val="24"/>
          <w:szCs w:val="24"/>
        </w:rPr>
      </w:pPr>
      <w:r>
        <w:rPr>
          <w:b/>
          <w:sz w:val="24"/>
          <w:szCs w:val="24"/>
        </w:rPr>
        <w:tab/>
      </w:r>
      <w:r w:rsidR="00DA5F02">
        <w:rPr>
          <w:b/>
          <w:sz w:val="24"/>
          <w:szCs w:val="24"/>
        </w:rPr>
        <w:t>15. januar 2024</w:t>
      </w:r>
    </w:p>
    <w:p w14:paraId="18DBA0AE" w14:textId="2E5D1E49" w:rsidR="005B0036" w:rsidRDefault="005B0036" w:rsidP="005B0036">
      <w:pPr>
        <w:rPr>
          <w:sz w:val="24"/>
          <w:szCs w:val="24"/>
        </w:rPr>
      </w:pPr>
    </w:p>
    <w:p w14:paraId="455F977B" w14:textId="7F433607" w:rsidR="005426C1" w:rsidRDefault="005426C1" w:rsidP="005B0036">
      <w:pPr>
        <w:rPr>
          <w:sz w:val="24"/>
          <w:szCs w:val="24"/>
        </w:rPr>
      </w:pPr>
    </w:p>
    <w:p w14:paraId="5C537A19" w14:textId="77777777" w:rsidR="005B0036" w:rsidRPr="00406EE7" w:rsidRDefault="005B0036" w:rsidP="005B0036">
      <w:pPr>
        <w:tabs>
          <w:tab w:val="left" w:pos="8222"/>
        </w:tabs>
        <w:jc w:val="center"/>
        <w:rPr>
          <w:b/>
          <w:sz w:val="24"/>
          <w:szCs w:val="24"/>
        </w:rPr>
      </w:pPr>
      <w:r w:rsidRPr="00406EE7">
        <w:rPr>
          <w:b/>
          <w:sz w:val="24"/>
          <w:szCs w:val="24"/>
        </w:rPr>
        <w:t>PRODUKTRESUMÉ</w:t>
      </w:r>
    </w:p>
    <w:p w14:paraId="0980079F" w14:textId="77777777" w:rsidR="005B0036" w:rsidRPr="00406EE7" w:rsidRDefault="005B0036" w:rsidP="005B0036">
      <w:pPr>
        <w:tabs>
          <w:tab w:val="left" w:pos="8222"/>
        </w:tabs>
        <w:jc w:val="center"/>
        <w:rPr>
          <w:b/>
          <w:sz w:val="24"/>
          <w:szCs w:val="24"/>
        </w:rPr>
      </w:pPr>
    </w:p>
    <w:p w14:paraId="0FB11FE1" w14:textId="77777777" w:rsidR="005B0036" w:rsidRPr="00406EE7" w:rsidRDefault="005B0036" w:rsidP="005B0036">
      <w:pPr>
        <w:tabs>
          <w:tab w:val="left" w:pos="8222"/>
        </w:tabs>
        <w:jc w:val="center"/>
        <w:rPr>
          <w:b/>
          <w:sz w:val="24"/>
          <w:szCs w:val="24"/>
        </w:rPr>
      </w:pPr>
      <w:r w:rsidRPr="00406EE7">
        <w:rPr>
          <w:b/>
          <w:sz w:val="24"/>
          <w:szCs w:val="24"/>
        </w:rPr>
        <w:t>for</w:t>
      </w:r>
    </w:p>
    <w:p w14:paraId="1920A84C" w14:textId="77777777" w:rsidR="005B0036" w:rsidRPr="00406EE7" w:rsidRDefault="005B0036" w:rsidP="005B0036">
      <w:pPr>
        <w:tabs>
          <w:tab w:val="left" w:pos="8222"/>
        </w:tabs>
        <w:jc w:val="center"/>
        <w:rPr>
          <w:b/>
          <w:sz w:val="24"/>
          <w:szCs w:val="24"/>
        </w:rPr>
      </w:pPr>
    </w:p>
    <w:p w14:paraId="14E52FDF" w14:textId="2D69AFF6" w:rsidR="005B0036" w:rsidRPr="00565A74" w:rsidRDefault="00AF12BE" w:rsidP="005B0036">
      <w:pPr>
        <w:tabs>
          <w:tab w:val="left" w:pos="8222"/>
        </w:tabs>
        <w:jc w:val="center"/>
        <w:rPr>
          <w:b/>
          <w:sz w:val="24"/>
          <w:szCs w:val="24"/>
        </w:rPr>
      </w:pPr>
      <w:proofErr w:type="spellStart"/>
      <w:r>
        <w:rPr>
          <w:b/>
          <w:sz w:val="24"/>
          <w:szCs w:val="24"/>
        </w:rPr>
        <w:t>Veytosal</w:t>
      </w:r>
      <w:proofErr w:type="spellEnd"/>
      <w:r>
        <w:rPr>
          <w:b/>
          <w:sz w:val="24"/>
          <w:szCs w:val="24"/>
        </w:rPr>
        <w:t xml:space="preserve"> </w:t>
      </w:r>
      <w:proofErr w:type="spellStart"/>
      <w:r>
        <w:rPr>
          <w:b/>
          <w:sz w:val="24"/>
          <w:szCs w:val="24"/>
        </w:rPr>
        <w:t>Vet</w:t>
      </w:r>
      <w:proofErr w:type="spellEnd"/>
      <w:r>
        <w:rPr>
          <w:b/>
          <w:sz w:val="24"/>
          <w:szCs w:val="24"/>
        </w:rPr>
        <w:t>.</w:t>
      </w:r>
      <w:r w:rsidR="008679C3">
        <w:rPr>
          <w:b/>
          <w:sz w:val="24"/>
          <w:szCs w:val="24"/>
        </w:rPr>
        <w:t>, injektionsvæske, opløsning</w:t>
      </w:r>
    </w:p>
    <w:p w14:paraId="376A43B2" w14:textId="77777777" w:rsidR="005B0036" w:rsidRPr="00406EE7" w:rsidRDefault="005B0036" w:rsidP="005B0036">
      <w:pPr>
        <w:tabs>
          <w:tab w:val="left" w:pos="8222"/>
        </w:tabs>
        <w:jc w:val="both"/>
        <w:rPr>
          <w:sz w:val="24"/>
          <w:szCs w:val="24"/>
        </w:rPr>
      </w:pPr>
    </w:p>
    <w:p w14:paraId="02B3DAA9" w14:textId="77777777" w:rsidR="005B0036" w:rsidRPr="00406EE7" w:rsidRDefault="005B0036" w:rsidP="005B0036">
      <w:pPr>
        <w:tabs>
          <w:tab w:val="left" w:pos="8222"/>
        </w:tabs>
        <w:jc w:val="both"/>
        <w:rPr>
          <w:sz w:val="24"/>
          <w:szCs w:val="24"/>
        </w:rPr>
      </w:pPr>
    </w:p>
    <w:p w14:paraId="48D83473" w14:textId="77777777"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14:paraId="2960FC51" w14:textId="6E5ACD3D" w:rsidR="005B0036" w:rsidRPr="00406EE7" w:rsidRDefault="00BF155C" w:rsidP="00FD74B5">
      <w:pPr>
        <w:ind w:left="851"/>
        <w:rPr>
          <w:sz w:val="24"/>
          <w:szCs w:val="24"/>
        </w:rPr>
      </w:pPr>
      <w:r>
        <w:rPr>
          <w:sz w:val="24"/>
          <w:szCs w:val="24"/>
        </w:rPr>
        <w:t>32442</w:t>
      </w:r>
    </w:p>
    <w:p w14:paraId="08BC866C" w14:textId="77777777" w:rsidR="005B0036" w:rsidRPr="00406EE7" w:rsidRDefault="005B0036" w:rsidP="00FD74B5">
      <w:pPr>
        <w:ind w:left="851"/>
        <w:rPr>
          <w:sz w:val="24"/>
          <w:szCs w:val="24"/>
        </w:rPr>
      </w:pPr>
    </w:p>
    <w:p w14:paraId="437D8C4A" w14:textId="77777777" w:rsidR="005B0036" w:rsidRPr="00406EE7" w:rsidRDefault="005B0036" w:rsidP="00FD74B5">
      <w:pPr>
        <w:ind w:left="851" w:hanging="851"/>
        <w:rPr>
          <w:b/>
          <w:sz w:val="24"/>
          <w:szCs w:val="24"/>
        </w:rPr>
      </w:pPr>
      <w:r w:rsidRPr="00406EE7">
        <w:rPr>
          <w:b/>
          <w:sz w:val="24"/>
          <w:szCs w:val="24"/>
        </w:rPr>
        <w:t>1.</w:t>
      </w:r>
      <w:r w:rsidRPr="00406EE7">
        <w:rPr>
          <w:b/>
          <w:sz w:val="24"/>
          <w:szCs w:val="24"/>
        </w:rPr>
        <w:tab/>
        <w:t>VETERINÆRLÆGEMIDLETS NAVN</w:t>
      </w:r>
    </w:p>
    <w:p w14:paraId="427BCF6B" w14:textId="1E11F8C6" w:rsidR="005B0036" w:rsidRPr="00406EE7" w:rsidRDefault="00AF12BE" w:rsidP="00FD74B5">
      <w:pPr>
        <w:ind w:left="851"/>
        <w:rPr>
          <w:sz w:val="24"/>
          <w:szCs w:val="24"/>
        </w:rPr>
      </w:pPr>
      <w:proofErr w:type="spellStart"/>
      <w:r>
        <w:rPr>
          <w:sz w:val="24"/>
          <w:szCs w:val="24"/>
        </w:rPr>
        <w:t>Veytosal</w:t>
      </w:r>
      <w:proofErr w:type="spellEnd"/>
      <w:r>
        <w:rPr>
          <w:sz w:val="24"/>
          <w:szCs w:val="24"/>
        </w:rPr>
        <w:t xml:space="preserve"> </w:t>
      </w:r>
      <w:proofErr w:type="spellStart"/>
      <w:r>
        <w:rPr>
          <w:sz w:val="24"/>
          <w:szCs w:val="24"/>
        </w:rPr>
        <w:t>Vet</w:t>
      </w:r>
      <w:proofErr w:type="spellEnd"/>
      <w:r>
        <w:rPr>
          <w:sz w:val="24"/>
          <w:szCs w:val="24"/>
        </w:rPr>
        <w:t>.</w:t>
      </w:r>
    </w:p>
    <w:p w14:paraId="22D1223A" w14:textId="77777777" w:rsidR="005B0036" w:rsidRPr="00406EE7" w:rsidRDefault="005B0036" w:rsidP="00FD74B5">
      <w:pPr>
        <w:ind w:left="851"/>
        <w:rPr>
          <w:sz w:val="24"/>
          <w:szCs w:val="24"/>
        </w:rPr>
      </w:pPr>
    </w:p>
    <w:p w14:paraId="4C1AC331" w14:textId="77777777" w:rsidR="005B0036" w:rsidRPr="00406EE7" w:rsidRDefault="005B0036" w:rsidP="00FD74B5">
      <w:pPr>
        <w:ind w:left="851" w:hanging="851"/>
        <w:rPr>
          <w:b/>
          <w:sz w:val="24"/>
          <w:szCs w:val="24"/>
        </w:rPr>
      </w:pPr>
      <w:r w:rsidRPr="00406EE7">
        <w:rPr>
          <w:b/>
          <w:sz w:val="24"/>
          <w:szCs w:val="24"/>
        </w:rPr>
        <w:t>2.</w:t>
      </w:r>
      <w:r w:rsidRPr="00406EE7">
        <w:rPr>
          <w:b/>
          <w:sz w:val="24"/>
          <w:szCs w:val="24"/>
        </w:rPr>
        <w:tab/>
        <w:t>KVALITATIV OG KVANTITATIV SAMMENSÆTNING</w:t>
      </w:r>
    </w:p>
    <w:p w14:paraId="68A853CF" w14:textId="77777777" w:rsidR="000559B1" w:rsidRPr="000559B1" w:rsidRDefault="000559B1" w:rsidP="00FD74B5">
      <w:pPr>
        <w:ind w:left="851"/>
        <w:rPr>
          <w:sz w:val="24"/>
          <w:szCs w:val="24"/>
        </w:rPr>
      </w:pPr>
      <w:r w:rsidRPr="000559B1">
        <w:rPr>
          <w:bCs/>
          <w:sz w:val="24"/>
          <w:szCs w:val="24"/>
        </w:rPr>
        <w:t>Hver ml indeholder</w:t>
      </w:r>
    </w:p>
    <w:p w14:paraId="1CA414F4" w14:textId="77777777" w:rsidR="000559B1" w:rsidRPr="000559B1" w:rsidRDefault="000559B1" w:rsidP="00FD74B5">
      <w:pPr>
        <w:ind w:left="851"/>
        <w:rPr>
          <w:b/>
          <w:bCs/>
          <w:sz w:val="24"/>
          <w:szCs w:val="24"/>
        </w:rPr>
      </w:pPr>
    </w:p>
    <w:p w14:paraId="5DC48591" w14:textId="6405A9CB" w:rsidR="000559B1" w:rsidRPr="000559B1" w:rsidRDefault="000559B1" w:rsidP="00FD74B5">
      <w:pPr>
        <w:tabs>
          <w:tab w:val="left" w:pos="5670"/>
        </w:tabs>
        <w:ind w:left="851"/>
        <w:rPr>
          <w:b/>
          <w:bCs/>
          <w:sz w:val="24"/>
          <w:szCs w:val="24"/>
        </w:rPr>
      </w:pPr>
      <w:r w:rsidRPr="000559B1">
        <w:rPr>
          <w:b/>
          <w:bCs/>
          <w:sz w:val="24"/>
          <w:szCs w:val="24"/>
        </w:rPr>
        <w:t>Aktive stoffer</w:t>
      </w:r>
    </w:p>
    <w:p w14:paraId="5744FCF7" w14:textId="26CF6E7E" w:rsidR="000559B1" w:rsidRPr="000559B1" w:rsidRDefault="000559B1" w:rsidP="00FD74B5">
      <w:pPr>
        <w:tabs>
          <w:tab w:val="left" w:pos="5670"/>
        </w:tabs>
        <w:ind w:left="851"/>
        <w:rPr>
          <w:sz w:val="24"/>
          <w:szCs w:val="24"/>
        </w:rPr>
      </w:pPr>
      <w:proofErr w:type="spellStart"/>
      <w:r w:rsidRPr="000559B1">
        <w:rPr>
          <w:bCs/>
          <w:sz w:val="24"/>
          <w:szCs w:val="24"/>
        </w:rPr>
        <w:t>Butafosfan</w:t>
      </w:r>
      <w:proofErr w:type="spellEnd"/>
      <w:r w:rsidRPr="000559B1">
        <w:rPr>
          <w:bCs/>
          <w:sz w:val="24"/>
          <w:szCs w:val="24"/>
        </w:rPr>
        <w:tab/>
        <w:t>100,00 mg</w:t>
      </w:r>
    </w:p>
    <w:p w14:paraId="0CA98226" w14:textId="7ECEA851" w:rsidR="000559B1" w:rsidRPr="000559B1" w:rsidRDefault="000559B1" w:rsidP="00FD74B5">
      <w:pPr>
        <w:tabs>
          <w:tab w:val="left" w:pos="5670"/>
        </w:tabs>
        <w:ind w:left="851"/>
        <w:rPr>
          <w:sz w:val="24"/>
          <w:szCs w:val="24"/>
        </w:rPr>
      </w:pPr>
      <w:proofErr w:type="spellStart"/>
      <w:r w:rsidRPr="000559B1">
        <w:rPr>
          <w:bCs/>
          <w:sz w:val="24"/>
          <w:szCs w:val="24"/>
        </w:rPr>
        <w:t>Cyanocobalamin</w:t>
      </w:r>
      <w:proofErr w:type="spellEnd"/>
      <w:r w:rsidRPr="000559B1">
        <w:rPr>
          <w:bCs/>
          <w:sz w:val="24"/>
          <w:szCs w:val="24"/>
        </w:rPr>
        <w:t xml:space="preserve"> (B12-vitamin)</w:t>
      </w:r>
      <w:r w:rsidRPr="000559B1">
        <w:rPr>
          <w:bCs/>
          <w:sz w:val="24"/>
          <w:szCs w:val="24"/>
        </w:rPr>
        <w:tab/>
        <w:t>0,05 mg</w:t>
      </w:r>
    </w:p>
    <w:p w14:paraId="5DF2AD4A" w14:textId="77777777" w:rsidR="000559B1" w:rsidRPr="000559B1" w:rsidRDefault="000559B1" w:rsidP="00FD74B5">
      <w:pPr>
        <w:tabs>
          <w:tab w:val="left" w:pos="5670"/>
        </w:tabs>
        <w:ind w:left="851"/>
        <w:rPr>
          <w:sz w:val="24"/>
          <w:szCs w:val="24"/>
        </w:rPr>
      </w:pPr>
    </w:p>
    <w:p w14:paraId="41EEE6A5" w14:textId="484FCCFA" w:rsidR="000559B1" w:rsidRPr="000559B1" w:rsidRDefault="000559B1" w:rsidP="00FD74B5">
      <w:pPr>
        <w:tabs>
          <w:tab w:val="left" w:pos="5670"/>
        </w:tabs>
        <w:ind w:left="851"/>
        <w:rPr>
          <w:sz w:val="24"/>
          <w:szCs w:val="24"/>
        </w:rPr>
      </w:pPr>
      <w:r w:rsidRPr="000559B1">
        <w:rPr>
          <w:b/>
          <w:bCs/>
          <w:sz w:val="24"/>
          <w:szCs w:val="24"/>
        </w:rPr>
        <w:t>Hjælpestof</w:t>
      </w:r>
    </w:p>
    <w:p w14:paraId="05131DF7" w14:textId="224672C5" w:rsidR="000559B1" w:rsidRPr="000559B1" w:rsidRDefault="000559B1" w:rsidP="00FD74B5">
      <w:pPr>
        <w:tabs>
          <w:tab w:val="left" w:pos="5670"/>
        </w:tabs>
        <w:ind w:left="851"/>
        <w:rPr>
          <w:iCs/>
          <w:sz w:val="24"/>
          <w:szCs w:val="24"/>
        </w:rPr>
      </w:pPr>
      <w:proofErr w:type="spellStart"/>
      <w:r w:rsidRPr="000559B1">
        <w:rPr>
          <w:sz w:val="24"/>
          <w:szCs w:val="24"/>
        </w:rPr>
        <w:t>Benzylalkohol</w:t>
      </w:r>
      <w:proofErr w:type="spellEnd"/>
      <w:r w:rsidRPr="000559B1">
        <w:rPr>
          <w:sz w:val="24"/>
          <w:szCs w:val="24"/>
        </w:rPr>
        <w:t xml:space="preserve"> (E 1519)</w:t>
      </w:r>
      <w:r w:rsidRPr="000559B1">
        <w:rPr>
          <w:sz w:val="24"/>
          <w:szCs w:val="24"/>
        </w:rPr>
        <w:tab/>
        <w:t>20,00 mg</w:t>
      </w:r>
    </w:p>
    <w:p w14:paraId="49712DEC" w14:textId="77777777" w:rsidR="000559B1" w:rsidRPr="000559B1" w:rsidRDefault="000559B1" w:rsidP="00FD74B5">
      <w:pPr>
        <w:ind w:left="851"/>
        <w:rPr>
          <w:iCs/>
          <w:sz w:val="24"/>
          <w:szCs w:val="24"/>
        </w:rPr>
      </w:pPr>
    </w:p>
    <w:p w14:paraId="15FBA27C" w14:textId="77777777" w:rsidR="000559B1" w:rsidRPr="000559B1" w:rsidRDefault="000559B1" w:rsidP="00FD74B5">
      <w:pPr>
        <w:ind w:left="851"/>
        <w:rPr>
          <w:sz w:val="24"/>
          <w:szCs w:val="24"/>
        </w:rPr>
      </w:pPr>
      <w:r w:rsidRPr="000559B1">
        <w:rPr>
          <w:sz w:val="24"/>
          <w:szCs w:val="24"/>
        </w:rPr>
        <w:t>Alle hjælpestoffer er anført under pkt. 6.1.</w:t>
      </w:r>
    </w:p>
    <w:p w14:paraId="71032A04" w14:textId="77777777" w:rsidR="005B0036" w:rsidRPr="00406EE7" w:rsidRDefault="005B0036" w:rsidP="00FD74B5">
      <w:pPr>
        <w:ind w:left="851"/>
        <w:rPr>
          <w:sz w:val="24"/>
          <w:szCs w:val="24"/>
        </w:rPr>
      </w:pPr>
    </w:p>
    <w:p w14:paraId="216FC0E9" w14:textId="77777777" w:rsidR="005B0036" w:rsidRPr="00406EE7" w:rsidRDefault="005B0036" w:rsidP="00FD74B5">
      <w:pPr>
        <w:ind w:left="851" w:hanging="851"/>
        <w:rPr>
          <w:b/>
          <w:sz w:val="24"/>
          <w:szCs w:val="24"/>
        </w:rPr>
      </w:pPr>
      <w:r w:rsidRPr="00406EE7">
        <w:rPr>
          <w:b/>
          <w:sz w:val="24"/>
          <w:szCs w:val="24"/>
        </w:rPr>
        <w:t>3.</w:t>
      </w:r>
      <w:r w:rsidRPr="00406EE7">
        <w:rPr>
          <w:b/>
          <w:sz w:val="24"/>
          <w:szCs w:val="24"/>
        </w:rPr>
        <w:tab/>
        <w:t>LÆGEMIDDELFORM</w:t>
      </w:r>
    </w:p>
    <w:p w14:paraId="127D5867" w14:textId="28D4768D" w:rsidR="000559B1" w:rsidRDefault="000559B1" w:rsidP="00FD74B5">
      <w:pPr>
        <w:tabs>
          <w:tab w:val="left" w:pos="851"/>
        </w:tabs>
        <w:ind w:left="851"/>
        <w:rPr>
          <w:sz w:val="24"/>
          <w:szCs w:val="24"/>
        </w:rPr>
      </w:pPr>
      <w:r w:rsidRPr="000559B1">
        <w:rPr>
          <w:sz w:val="24"/>
          <w:szCs w:val="24"/>
        </w:rPr>
        <w:t>Injektionsvæske, opløsning</w:t>
      </w:r>
    </w:p>
    <w:p w14:paraId="79D4BCE3" w14:textId="77777777" w:rsidR="000559B1" w:rsidRPr="000559B1" w:rsidRDefault="000559B1" w:rsidP="00FD74B5">
      <w:pPr>
        <w:tabs>
          <w:tab w:val="left" w:pos="851"/>
        </w:tabs>
        <w:ind w:left="851"/>
        <w:rPr>
          <w:iCs/>
          <w:sz w:val="24"/>
          <w:szCs w:val="24"/>
        </w:rPr>
      </w:pPr>
    </w:p>
    <w:p w14:paraId="6DB5311C" w14:textId="77777777" w:rsidR="000559B1" w:rsidRPr="000559B1" w:rsidRDefault="000559B1" w:rsidP="00FD74B5">
      <w:pPr>
        <w:tabs>
          <w:tab w:val="left" w:pos="851"/>
        </w:tabs>
        <w:ind w:left="851"/>
        <w:rPr>
          <w:iCs/>
          <w:sz w:val="24"/>
          <w:szCs w:val="24"/>
        </w:rPr>
      </w:pPr>
      <w:r w:rsidRPr="000559B1">
        <w:rPr>
          <w:sz w:val="24"/>
          <w:szCs w:val="24"/>
        </w:rPr>
        <w:t>Klar, lyserød opløsning.</w:t>
      </w:r>
    </w:p>
    <w:p w14:paraId="0DFF208F" w14:textId="77777777" w:rsidR="005B0036" w:rsidRPr="00406EE7" w:rsidRDefault="005B0036" w:rsidP="00FD74B5">
      <w:pPr>
        <w:tabs>
          <w:tab w:val="left" w:pos="851"/>
        </w:tabs>
        <w:ind w:left="851"/>
        <w:rPr>
          <w:sz w:val="24"/>
          <w:szCs w:val="24"/>
        </w:rPr>
      </w:pPr>
    </w:p>
    <w:p w14:paraId="0F90C147" w14:textId="77777777" w:rsidR="005B0036" w:rsidRPr="00406EE7" w:rsidRDefault="005B0036" w:rsidP="00FD74B5">
      <w:pPr>
        <w:tabs>
          <w:tab w:val="left" w:pos="851"/>
        </w:tabs>
        <w:ind w:left="851"/>
        <w:rPr>
          <w:sz w:val="24"/>
          <w:szCs w:val="24"/>
        </w:rPr>
      </w:pPr>
    </w:p>
    <w:p w14:paraId="3F538487" w14:textId="77777777" w:rsidR="005B0036" w:rsidRPr="00406EE7" w:rsidRDefault="005B0036" w:rsidP="00FD74B5">
      <w:pPr>
        <w:ind w:left="851" w:hanging="851"/>
        <w:rPr>
          <w:b/>
          <w:sz w:val="24"/>
          <w:szCs w:val="24"/>
        </w:rPr>
      </w:pPr>
      <w:r w:rsidRPr="00406EE7">
        <w:rPr>
          <w:b/>
          <w:sz w:val="24"/>
          <w:szCs w:val="24"/>
        </w:rPr>
        <w:t>4.</w:t>
      </w:r>
      <w:r w:rsidRPr="00406EE7">
        <w:rPr>
          <w:b/>
          <w:sz w:val="24"/>
          <w:szCs w:val="24"/>
        </w:rPr>
        <w:tab/>
        <w:t>KLINISKE OPLYSNINGER</w:t>
      </w:r>
    </w:p>
    <w:p w14:paraId="021010AE" w14:textId="77777777" w:rsidR="005B0036" w:rsidRPr="00406EE7" w:rsidRDefault="005B0036" w:rsidP="00FD74B5">
      <w:pPr>
        <w:tabs>
          <w:tab w:val="left" w:pos="851"/>
        </w:tabs>
        <w:ind w:left="851"/>
        <w:rPr>
          <w:sz w:val="24"/>
          <w:szCs w:val="24"/>
        </w:rPr>
      </w:pPr>
    </w:p>
    <w:p w14:paraId="3D5C8A53" w14:textId="77777777" w:rsidR="005B0036" w:rsidRPr="00406EE7" w:rsidRDefault="005B0036" w:rsidP="00FD74B5">
      <w:pPr>
        <w:ind w:left="851" w:hanging="851"/>
        <w:rPr>
          <w:b/>
          <w:sz w:val="24"/>
          <w:szCs w:val="24"/>
          <w:u w:val="single"/>
        </w:rPr>
      </w:pPr>
      <w:r w:rsidRPr="00406EE7">
        <w:rPr>
          <w:b/>
          <w:sz w:val="24"/>
          <w:szCs w:val="24"/>
        </w:rPr>
        <w:t>4.1</w:t>
      </w:r>
      <w:r w:rsidRPr="00406EE7">
        <w:rPr>
          <w:b/>
          <w:sz w:val="24"/>
          <w:szCs w:val="24"/>
        </w:rPr>
        <w:tab/>
        <w:t>Dyrearter</w:t>
      </w:r>
    </w:p>
    <w:p w14:paraId="2594E752" w14:textId="77777777" w:rsidR="000904C2" w:rsidRDefault="000904C2" w:rsidP="00FD74B5">
      <w:pPr>
        <w:ind w:left="851"/>
        <w:rPr>
          <w:sz w:val="24"/>
          <w:szCs w:val="24"/>
        </w:rPr>
      </w:pPr>
      <w:r w:rsidRPr="000904C2">
        <w:rPr>
          <w:sz w:val="24"/>
          <w:szCs w:val="24"/>
        </w:rPr>
        <w:t>Kvæg</w:t>
      </w:r>
    </w:p>
    <w:p w14:paraId="0DD253EC" w14:textId="77777777" w:rsidR="000904C2" w:rsidRDefault="000904C2" w:rsidP="00FD74B5">
      <w:pPr>
        <w:ind w:left="851"/>
        <w:rPr>
          <w:sz w:val="24"/>
          <w:szCs w:val="24"/>
        </w:rPr>
      </w:pPr>
      <w:r>
        <w:rPr>
          <w:sz w:val="24"/>
          <w:szCs w:val="24"/>
        </w:rPr>
        <w:t>H</w:t>
      </w:r>
      <w:r w:rsidRPr="000904C2">
        <w:rPr>
          <w:sz w:val="24"/>
          <w:szCs w:val="24"/>
        </w:rPr>
        <w:t>est</w:t>
      </w:r>
    </w:p>
    <w:p w14:paraId="53604C74" w14:textId="77777777" w:rsidR="000904C2" w:rsidRDefault="000904C2" w:rsidP="00FD74B5">
      <w:pPr>
        <w:ind w:left="851"/>
        <w:rPr>
          <w:sz w:val="24"/>
          <w:szCs w:val="24"/>
        </w:rPr>
      </w:pPr>
      <w:r>
        <w:rPr>
          <w:sz w:val="24"/>
          <w:szCs w:val="24"/>
        </w:rPr>
        <w:t>Hund</w:t>
      </w:r>
    </w:p>
    <w:p w14:paraId="6D81128C" w14:textId="28432765" w:rsidR="000904C2" w:rsidRPr="000904C2" w:rsidRDefault="000904C2" w:rsidP="00FD74B5">
      <w:pPr>
        <w:ind w:left="851"/>
        <w:rPr>
          <w:iCs/>
          <w:sz w:val="24"/>
          <w:szCs w:val="24"/>
        </w:rPr>
      </w:pPr>
      <w:r>
        <w:rPr>
          <w:sz w:val="24"/>
          <w:szCs w:val="24"/>
        </w:rPr>
        <w:t>Kat</w:t>
      </w:r>
    </w:p>
    <w:p w14:paraId="28B4A41B" w14:textId="5930B7BF" w:rsidR="007207EE" w:rsidRDefault="007207EE" w:rsidP="00FD74B5">
      <w:pPr>
        <w:rPr>
          <w:sz w:val="24"/>
          <w:szCs w:val="24"/>
        </w:rPr>
      </w:pPr>
      <w:r>
        <w:rPr>
          <w:sz w:val="24"/>
          <w:szCs w:val="24"/>
        </w:rPr>
        <w:br w:type="page"/>
      </w:r>
    </w:p>
    <w:p w14:paraId="3D061040" w14:textId="77777777" w:rsidR="005B0036" w:rsidRPr="00406EE7" w:rsidRDefault="005B0036" w:rsidP="00FD74B5">
      <w:pPr>
        <w:ind w:left="851"/>
        <w:rPr>
          <w:sz w:val="24"/>
          <w:szCs w:val="24"/>
        </w:rPr>
      </w:pPr>
    </w:p>
    <w:p w14:paraId="350873E1" w14:textId="77777777" w:rsidR="005B0036" w:rsidRPr="00406EE7" w:rsidRDefault="005B0036" w:rsidP="00FD74B5">
      <w:pPr>
        <w:pStyle w:val="Sidehoved"/>
        <w:tabs>
          <w:tab w:val="clear" w:pos="4819"/>
        </w:tabs>
        <w:ind w:left="851" w:hanging="851"/>
        <w:rPr>
          <w:b/>
          <w:szCs w:val="24"/>
        </w:rPr>
      </w:pPr>
      <w:r w:rsidRPr="00406EE7">
        <w:rPr>
          <w:b/>
          <w:szCs w:val="24"/>
        </w:rPr>
        <w:t>4.2</w:t>
      </w:r>
      <w:r w:rsidRPr="00406EE7">
        <w:rPr>
          <w:b/>
          <w:szCs w:val="24"/>
        </w:rPr>
        <w:tab/>
        <w:t>Terapeutiske indikationer</w:t>
      </w:r>
    </w:p>
    <w:p w14:paraId="330FE606" w14:textId="77777777" w:rsidR="007207EE" w:rsidRPr="007207EE" w:rsidRDefault="007207EE" w:rsidP="00FD74B5">
      <w:pPr>
        <w:pStyle w:val="Sidehoved"/>
        <w:ind w:left="851"/>
        <w:rPr>
          <w:iCs/>
          <w:szCs w:val="24"/>
        </w:rPr>
      </w:pPr>
      <w:r w:rsidRPr="007207EE">
        <w:rPr>
          <w:szCs w:val="24"/>
        </w:rPr>
        <w:t xml:space="preserve">Som understøttende behandling af metaboliske eller reproduktionsrelaterede lidelser, når tilskud af </w:t>
      </w:r>
      <w:proofErr w:type="spellStart"/>
      <w:r w:rsidRPr="007207EE">
        <w:rPr>
          <w:szCs w:val="24"/>
        </w:rPr>
        <w:t>phosphor</w:t>
      </w:r>
      <w:proofErr w:type="spellEnd"/>
      <w:r w:rsidRPr="007207EE">
        <w:rPr>
          <w:szCs w:val="24"/>
        </w:rPr>
        <w:t xml:space="preserve"> og </w:t>
      </w:r>
      <w:proofErr w:type="spellStart"/>
      <w:r w:rsidRPr="007207EE">
        <w:rPr>
          <w:szCs w:val="24"/>
        </w:rPr>
        <w:t>cyanocobalamin</w:t>
      </w:r>
      <w:proofErr w:type="spellEnd"/>
      <w:r w:rsidRPr="007207EE">
        <w:rPr>
          <w:szCs w:val="24"/>
        </w:rPr>
        <w:t xml:space="preserve"> er nødvendigt.</w:t>
      </w:r>
    </w:p>
    <w:p w14:paraId="03F853B8" w14:textId="77777777" w:rsidR="007207EE" w:rsidRPr="007207EE" w:rsidRDefault="007207EE" w:rsidP="00FD74B5">
      <w:pPr>
        <w:pStyle w:val="Sidehoved"/>
        <w:ind w:left="851"/>
        <w:rPr>
          <w:iCs/>
          <w:szCs w:val="24"/>
        </w:rPr>
      </w:pPr>
      <w:r w:rsidRPr="007207EE">
        <w:rPr>
          <w:szCs w:val="24"/>
        </w:rPr>
        <w:t xml:space="preserve">I tilfælde af metaboliske lidelser under </w:t>
      </w:r>
      <w:proofErr w:type="spellStart"/>
      <w:r w:rsidRPr="007207EE">
        <w:rPr>
          <w:szCs w:val="24"/>
        </w:rPr>
        <w:t>peripartum</w:t>
      </w:r>
      <w:proofErr w:type="spellEnd"/>
      <w:r w:rsidRPr="007207EE">
        <w:rPr>
          <w:szCs w:val="24"/>
        </w:rPr>
        <w:t>, tetani og parese (mælkefeber) bør produktet tilføres sammen med henholdsvis magnesium og calcium.</w:t>
      </w:r>
    </w:p>
    <w:p w14:paraId="68B05DA8" w14:textId="77777777" w:rsidR="007207EE" w:rsidRPr="007207EE" w:rsidRDefault="007207EE" w:rsidP="00FD74B5">
      <w:pPr>
        <w:pStyle w:val="Sidehoved"/>
        <w:ind w:left="851"/>
        <w:rPr>
          <w:iCs/>
          <w:szCs w:val="24"/>
        </w:rPr>
      </w:pPr>
      <w:r w:rsidRPr="007207EE">
        <w:rPr>
          <w:szCs w:val="24"/>
        </w:rPr>
        <w:t xml:space="preserve">Understøttelse af muskelfunktionen ved tilstedeværelse af mangel på </w:t>
      </w:r>
      <w:proofErr w:type="spellStart"/>
      <w:r w:rsidRPr="007207EE">
        <w:rPr>
          <w:szCs w:val="24"/>
        </w:rPr>
        <w:t>phosphor</w:t>
      </w:r>
      <w:proofErr w:type="spellEnd"/>
      <w:r w:rsidRPr="007207EE">
        <w:rPr>
          <w:szCs w:val="24"/>
        </w:rPr>
        <w:t xml:space="preserve"> og/eller </w:t>
      </w:r>
      <w:proofErr w:type="spellStart"/>
      <w:r w:rsidRPr="007207EE">
        <w:rPr>
          <w:szCs w:val="24"/>
        </w:rPr>
        <w:t>cyanocobalamin</w:t>
      </w:r>
      <w:proofErr w:type="spellEnd"/>
      <w:r w:rsidRPr="007207EE">
        <w:rPr>
          <w:szCs w:val="24"/>
        </w:rPr>
        <w:t xml:space="preserve">. </w:t>
      </w:r>
    </w:p>
    <w:p w14:paraId="10F7C4A2" w14:textId="77777777" w:rsidR="005B0036" w:rsidRPr="00406EE7" w:rsidRDefault="005B0036" w:rsidP="00FD74B5">
      <w:pPr>
        <w:pStyle w:val="Sidehoved"/>
        <w:tabs>
          <w:tab w:val="clear" w:pos="4819"/>
        </w:tabs>
        <w:ind w:left="851"/>
        <w:rPr>
          <w:szCs w:val="24"/>
        </w:rPr>
      </w:pPr>
    </w:p>
    <w:p w14:paraId="0C3F2C3C" w14:textId="77777777" w:rsidR="005B0036" w:rsidRPr="00406EE7" w:rsidRDefault="005B0036" w:rsidP="00FD74B5">
      <w:pPr>
        <w:pStyle w:val="Sidehoved"/>
        <w:tabs>
          <w:tab w:val="clear" w:pos="4819"/>
          <w:tab w:val="left" w:pos="851"/>
        </w:tabs>
        <w:rPr>
          <w:b/>
          <w:szCs w:val="24"/>
        </w:rPr>
      </w:pPr>
      <w:r w:rsidRPr="00406EE7">
        <w:rPr>
          <w:b/>
          <w:szCs w:val="24"/>
        </w:rPr>
        <w:t>4.3</w:t>
      </w:r>
      <w:r w:rsidRPr="00406EE7">
        <w:rPr>
          <w:b/>
          <w:szCs w:val="24"/>
        </w:rPr>
        <w:tab/>
        <w:t>Kontraindikationer</w:t>
      </w:r>
    </w:p>
    <w:p w14:paraId="28D36F1F" w14:textId="77777777" w:rsidR="007207EE" w:rsidRPr="007207EE" w:rsidRDefault="007207EE" w:rsidP="00FD74B5">
      <w:pPr>
        <w:pStyle w:val="Sidehoved"/>
        <w:ind w:left="851"/>
        <w:rPr>
          <w:szCs w:val="24"/>
        </w:rPr>
      </w:pPr>
      <w:r w:rsidRPr="007207EE">
        <w:rPr>
          <w:szCs w:val="24"/>
        </w:rPr>
        <w:t>Må ikke anvendes i tilfælde af overfølsomhed over for de aktive stoffer eller over for et eller flere af hjælpestofferne.</w:t>
      </w:r>
    </w:p>
    <w:p w14:paraId="3D9C5BE4" w14:textId="77777777" w:rsidR="005B0036" w:rsidRPr="00406EE7" w:rsidRDefault="005B0036" w:rsidP="00FD74B5">
      <w:pPr>
        <w:pStyle w:val="Sidehoved"/>
        <w:tabs>
          <w:tab w:val="clear" w:pos="4819"/>
        </w:tabs>
        <w:ind w:left="851"/>
        <w:rPr>
          <w:szCs w:val="24"/>
        </w:rPr>
      </w:pPr>
    </w:p>
    <w:p w14:paraId="327DFDA4" w14:textId="77777777" w:rsidR="005B0036" w:rsidRPr="00406EE7" w:rsidRDefault="005B0036" w:rsidP="00FD74B5">
      <w:pPr>
        <w:tabs>
          <w:tab w:val="left" w:pos="851"/>
        </w:tabs>
        <w:rPr>
          <w:b/>
          <w:sz w:val="24"/>
          <w:szCs w:val="24"/>
        </w:rPr>
      </w:pPr>
      <w:r w:rsidRPr="00406EE7">
        <w:rPr>
          <w:b/>
          <w:sz w:val="24"/>
          <w:szCs w:val="24"/>
        </w:rPr>
        <w:t>4.4</w:t>
      </w:r>
      <w:r w:rsidRPr="00406EE7">
        <w:rPr>
          <w:b/>
          <w:sz w:val="24"/>
          <w:szCs w:val="24"/>
        </w:rPr>
        <w:tab/>
        <w:t>Særlige advarsler</w:t>
      </w:r>
    </w:p>
    <w:p w14:paraId="22E18AF0" w14:textId="77777777" w:rsidR="007207EE" w:rsidRPr="007207EE" w:rsidRDefault="007207EE" w:rsidP="00FD74B5">
      <w:pPr>
        <w:pStyle w:val="Sidehoved"/>
        <w:ind w:left="851"/>
        <w:rPr>
          <w:i/>
          <w:szCs w:val="24"/>
        </w:rPr>
      </w:pPr>
      <w:r w:rsidRPr="007207EE">
        <w:rPr>
          <w:szCs w:val="24"/>
        </w:rPr>
        <w:t xml:space="preserve">Det anbefales at bestemme årsagen/årsagerne til de metaboliske eller reproduktionsrelaterede lidelser for at definere de mest hensigtsmæssige til forebyggelses- og behandlingsforanstaltninger samt behovet for en behandling med supplerende </w:t>
      </w:r>
      <w:proofErr w:type="spellStart"/>
      <w:r w:rsidRPr="007207EE">
        <w:rPr>
          <w:szCs w:val="24"/>
        </w:rPr>
        <w:t>phospor</w:t>
      </w:r>
      <w:proofErr w:type="spellEnd"/>
      <w:r w:rsidRPr="007207EE">
        <w:rPr>
          <w:szCs w:val="24"/>
        </w:rPr>
        <w:t xml:space="preserve"> og B</w:t>
      </w:r>
      <w:r w:rsidRPr="007207EE">
        <w:rPr>
          <w:szCs w:val="24"/>
          <w:vertAlign w:val="subscript"/>
        </w:rPr>
        <w:t>12</w:t>
      </w:r>
      <w:r w:rsidRPr="007207EE">
        <w:rPr>
          <w:szCs w:val="24"/>
        </w:rPr>
        <w:t>-vitamin.</w:t>
      </w:r>
    </w:p>
    <w:p w14:paraId="6E0EA147" w14:textId="77777777" w:rsidR="005B0036" w:rsidRPr="00406EE7" w:rsidRDefault="005B0036" w:rsidP="00FD74B5">
      <w:pPr>
        <w:pStyle w:val="Sidehoved"/>
        <w:tabs>
          <w:tab w:val="clear" w:pos="4819"/>
        </w:tabs>
        <w:ind w:left="851"/>
        <w:rPr>
          <w:szCs w:val="24"/>
        </w:rPr>
      </w:pPr>
    </w:p>
    <w:p w14:paraId="424E1A54" w14:textId="77777777" w:rsidR="005B0036" w:rsidRPr="00406EE7" w:rsidRDefault="005B0036" w:rsidP="00FD74B5">
      <w:pPr>
        <w:tabs>
          <w:tab w:val="left" w:pos="851"/>
        </w:tabs>
        <w:rPr>
          <w:b/>
          <w:sz w:val="24"/>
          <w:szCs w:val="24"/>
        </w:rPr>
      </w:pPr>
      <w:r w:rsidRPr="00406EE7">
        <w:rPr>
          <w:b/>
          <w:sz w:val="24"/>
          <w:szCs w:val="24"/>
        </w:rPr>
        <w:t>4.5</w:t>
      </w:r>
      <w:r w:rsidRPr="00406EE7">
        <w:rPr>
          <w:b/>
          <w:sz w:val="24"/>
          <w:szCs w:val="24"/>
        </w:rPr>
        <w:tab/>
        <w:t>Særlige forsigtighedsregler vedrørende brugen</w:t>
      </w:r>
    </w:p>
    <w:p w14:paraId="4954D3F8" w14:textId="77777777" w:rsidR="005B0036" w:rsidRPr="002374DA" w:rsidRDefault="005B0036" w:rsidP="00FD74B5">
      <w:pPr>
        <w:tabs>
          <w:tab w:val="left" w:pos="851"/>
        </w:tabs>
        <w:ind w:left="851"/>
        <w:rPr>
          <w:sz w:val="24"/>
          <w:szCs w:val="24"/>
        </w:rPr>
      </w:pPr>
    </w:p>
    <w:p w14:paraId="5654A78F" w14:textId="77777777" w:rsidR="005B0036" w:rsidRPr="00406EE7" w:rsidRDefault="005B0036" w:rsidP="00FD74B5">
      <w:pPr>
        <w:tabs>
          <w:tab w:val="left" w:pos="851"/>
        </w:tabs>
        <w:ind w:left="851"/>
        <w:rPr>
          <w:b/>
          <w:sz w:val="24"/>
          <w:szCs w:val="24"/>
        </w:rPr>
      </w:pPr>
      <w:r w:rsidRPr="00406EE7">
        <w:rPr>
          <w:b/>
          <w:sz w:val="24"/>
          <w:szCs w:val="24"/>
        </w:rPr>
        <w:t>Særlige forsigtighedsregler for dyret</w:t>
      </w:r>
    </w:p>
    <w:p w14:paraId="54190BEA" w14:textId="77777777" w:rsidR="00A25E33" w:rsidRPr="00A25E33" w:rsidRDefault="00A25E33" w:rsidP="00FD74B5">
      <w:pPr>
        <w:tabs>
          <w:tab w:val="left" w:pos="851"/>
        </w:tabs>
        <w:ind w:left="851"/>
        <w:rPr>
          <w:i/>
          <w:sz w:val="24"/>
          <w:szCs w:val="24"/>
        </w:rPr>
      </w:pPr>
      <w:r w:rsidRPr="00A25E33">
        <w:rPr>
          <w:sz w:val="24"/>
          <w:szCs w:val="24"/>
        </w:rPr>
        <w:t xml:space="preserve">På grund af kattes mangel på </w:t>
      </w:r>
      <w:proofErr w:type="spellStart"/>
      <w:r w:rsidRPr="00A25E33">
        <w:rPr>
          <w:sz w:val="24"/>
          <w:szCs w:val="24"/>
        </w:rPr>
        <w:t>glukoroniderende</w:t>
      </w:r>
      <w:proofErr w:type="spellEnd"/>
      <w:r w:rsidRPr="00A25E33">
        <w:rPr>
          <w:sz w:val="24"/>
          <w:szCs w:val="24"/>
        </w:rPr>
        <w:t xml:space="preserve"> </w:t>
      </w:r>
      <w:proofErr w:type="spellStart"/>
      <w:r w:rsidRPr="00A25E33">
        <w:rPr>
          <w:sz w:val="24"/>
          <w:szCs w:val="24"/>
        </w:rPr>
        <w:t>metaboliseringsveje</w:t>
      </w:r>
      <w:proofErr w:type="spellEnd"/>
      <w:r w:rsidRPr="00A25E33">
        <w:rPr>
          <w:sz w:val="24"/>
          <w:szCs w:val="24"/>
        </w:rPr>
        <w:t xml:space="preserve">, der er involveret i </w:t>
      </w:r>
      <w:proofErr w:type="spellStart"/>
      <w:r w:rsidRPr="00A25E33">
        <w:rPr>
          <w:sz w:val="24"/>
          <w:szCs w:val="24"/>
        </w:rPr>
        <w:t>metabolisering</w:t>
      </w:r>
      <w:proofErr w:type="spellEnd"/>
      <w:r w:rsidRPr="00A25E33">
        <w:rPr>
          <w:sz w:val="24"/>
          <w:szCs w:val="24"/>
        </w:rPr>
        <w:t xml:space="preserve"> af </w:t>
      </w:r>
      <w:proofErr w:type="spellStart"/>
      <w:r w:rsidRPr="00A25E33">
        <w:rPr>
          <w:sz w:val="24"/>
          <w:szCs w:val="24"/>
        </w:rPr>
        <w:t>benzylalkohol</w:t>
      </w:r>
      <w:proofErr w:type="spellEnd"/>
      <w:r w:rsidRPr="00A25E33">
        <w:rPr>
          <w:sz w:val="24"/>
          <w:szCs w:val="24"/>
        </w:rPr>
        <w:t>, bør dette veterinærlægemiddel anvendes med forsigtighed, og den anbefalede dosis bør nøje overholdes hos denne dyreart.</w:t>
      </w:r>
    </w:p>
    <w:p w14:paraId="71719872" w14:textId="77777777" w:rsidR="005B0036" w:rsidRPr="00406EE7" w:rsidRDefault="005B0036" w:rsidP="00FD74B5">
      <w:pPr>
        <w:tabs>
          <w:tab w:val="left" w:pos="851"/>
        </w:tabs>
        <w:ind w:left="851"/>
        <w:rPr>
          <w:sz w:val="24"/>
          <w:szCs w:val="24"/>
        </w:rPr>
      </w:pPr>
    </w:p>
    <w:p w14:paraId="2DF23125" w14:textId="77777777" w:rsidR="005B0036" w:rsidRPr="00406EE7" w:rsidRDefault="005B0036" w:rsidP="00FD74B5">
      <w:pPr>
        <w:tabs>
          <w:tab w:val="left" w:pos="851"/>
        </w:tabs>
        <w:ind w:left="851"/>
        <w:rPr>
          <w:b/>
          <w:sz w:val="24"/>
          <w:szCs w:val="24"/>
        </w:rPr>
      </w:pPr>
      <w:r w:rsidRPr="00406EE7">
        <w:rPr>
          <w:b/>
          <w:sz w:val="24"/>
          <w:szCs w:val="24"/>
        </w:rPr>
        <w:t>Særlige forsigtighedsregler for personer, der administrerer lægemidlet</w:t>
      </w:r>
    </w:p>
    <w:p w14:paraId="4345E0DE" w14:textId="77777777" w:rsidR="00A13449" w:rsidRPr="00A13449" w:rsidRDefault="00A13449" w:rsidP="00FD74B5">
      <w:pPr>
        <w:tabs>
          <w:tab w:val="left" w:pos="851"/>
        </w:tabs>
        <w:ind w:left="851"/>
        <w:rPr>
          <w:iCs/>
          <w:sz w:val="24"/>
          <w:szCs w:val="24"/>
        </w:rPr>
      </w:pPr>
      <w:r w:rsidRPr="00A13449">
        <w:rPr>
          <w:sz w:val="24"/>
          <w:szCs w:val="24"/>
        </w:rPr>
        <w:t xml:space="preserve">Dette veterinærlægemiddel indeholder </w:t>
      </w:r>
      <w:proofErr w:type="spellStart"/>
      <w:r w:rsidRPr="00A13449">
        <w:rPr>
          <w:sz w:val="24"/>
          <w:szCs w:val="24"/>
        </w:rPr>
        <w:t>benzylalkohol</w:t>
      </w:r>
      <w:proofErr w:type="spellEnd"/>
      <w:r w:rsidRPr="00A13449">
        <w:rPr>
          <w:sz w:val="24"/>
          <w:szCs w:val="24"/>
        </w:rPr>
        <w:t xml:space="preserve">, som kan medføre overfølsomhedsreaktioner (allergiske reaktioner). Personer med kendt overfølsomhed over for </w:t>
      </w:r>
      <w:proofErr w:type="spellStart"/>
      <w:r w:rsidRPr="00A13449">
        <w:rPr>
          <w:sz w:val="24"/>
          <w:szCs w:val="24"/>
        </w:rPr>
        <w:t>benzylalkohol</w:t>
      </w:r>
      <w:proofErr w:type="spellEnd"/>
      <w:r w:rsidRPr="00A13449">
        <w:rPr>
          <w:sz w:val="24"/>
          <w:szCs w:val="24"/>
        </w:rPr>
        <w:t xml:space="preserve"> bør undgå kontakt med lægemidlet.</w:t>
      </w:r>
    </w:p>
    <w:p w14:paraId="6AD08C92" w14:textId="77777777" w:rsidR="00A13449" w:rsidRPr="00A13449" w:rsidRDefault="00A13449" w:rsidP="00FD74B5">
      <w:pPr>
        <w:tabs>
          <w:tab w:val="left" w:pos="851"/>
        </w:tabs>
        <w:ind w:left="851"/>
        <w:rPr>
          <w:iCs/>
          <w:sz w:val="24"/>
          <w:szCs w:val="24"/>
        </w:rPr>
      </w:pPr>
      <w:r w:rsidRPr="00A13449">
        <w:rPr>
          <w:sz w:val="24"/>
          <w:szCs w:val="24"/>
        </w:rPr>
        <w:t>Lægemidlet kan forårsage irritation af hud, øjne og slimhinder. Kontakt med disse områder og lægemidlet bør derfor undgås. I tilfælde af utilsigtet eksponering skylles det berørte område grundigt med vand.</w:t>
      </w:r>
    </w:p>
    <w:p w14:paraId="5DADBAC4" w14:textId="77777777" w:rsidR="00A13449" w:rsidRPr="00A13449" w:rsidRDefault="00A13449" w:rsidP="00FD74B5">
      <w:pPr>
        <w:tabs>
          <w:tab w:val="left" w:pos="851"/>
        </w:tabs>
        <w:ind w:left="851"/>
        <w:rPr>
          <w:iCs/>
          <w:sz w:val="24"/>
          <w:szCs w:val="24"/>
        </w:rPr>
      </w:pPr>
      <w:r w:rsidRPr="00A13449">
        <w:rPr>
          <w:sz w:val="24"/>
          <w:szCs w:val="24"/>
        </w:rPr>
        <w:t>Undlad at spise, drikke eller ryge under håndtering af dette lægemiddel.</w:t>
      </w:r>
    </w:p>
    <w:p w14:paraId="6CE2E99C" w14:textId="77777777" w:rsidR="00A13449" w:rsidRPr="00A13449" w:rsidRDefault="00A13449" w:rsidP="00FD74B5">
      <w:pPr>
        <w:tabs>
          <w:tab w:val="left" w:pos="851"/>
        </w:tabs>
        <w:ind w:left="851"/>
        <w:rPr>
          <w:iCs/>
          <w:sz w:val="24"/>
          <w:szCs w:val="24"/>
        </w:rPr>
      </w:pPr>
      <w:r w:rsidRPr="00A13449">
        <w:rPr>
          <w:sz w:val="24"/>
          <w:szCs w:val="24"/>
        </w:rPr>
        <w:t>Vask hænderne efter brug.</w:t>
      </w:r>
    </w:p>
    <w:p w14:paraId="1AC0D55A" w14:textId="77777777" w:rsidR="005B0036" w:rsidRPr="00406EE7" w:rsidRDefault="005B0036" w:rsidP="00FD74B5">
      <w:pPr>
        <w:tabs>
          <w:tab w:val="left" w:pos="851"/>
        </w:tabs>
        <w:ind w:left="851"/>
        <w:rPr>
          <w:sz w:val="24"/>
          <w:szCs w:val="24"/>
        </w:rPr>
      </w:pPr>
    </w:p>
    <w:p w14:paraId="583C04E3" w14:textId="77777777" w:rsidR="005B0036" w:rsidRPr="00406EE7" w:rsidRDefault="005B0036" w:rsidP="00FD74B5">
      <w:pPr>
        <w:tabs>
          <w:tab w:val="left" w:pos="851"/>
        </w:tabs>
        <w:rPr>
          <w:b/>
          <w:sz w:val="24"/>
          <w:szCs w:val="24"/>
        </w:rPr>
      </w:pPr>
      <w:r w:rsidRPr="00406EE7">
        <w:rPr>
          <w:b/>
          <w:sz w:val="24"/>
          <w:szCs w:val="24"/>
        </w:rPr>
        <w:t>4.6</w:t>
      </w:r>
      <w:r w:rsidRPr="00406EE7">
        <w:rPr>
          <w:b/>
          <w:sz w:val="24"/>
          <w:szCs w:val="24"/>
        </w:rPr>
        <w:tab/>
        <w:t>Bivirkninger</w:t>
      </w:r>
    </w:p>
    <w:p w14:paraId="69CA779E" w14:textId="77777777" w:rsidR="007A7A0A" w:rsidRPr="007A7A0A" w:rsidRDefault="007A7A0A" w:rsidP="00FD74B5">
      <w:pPr>
        <w:tabs>
          <w:tab w:val="left" w:pos="851"/>
        </w:tabs>
        <w:ind w:left="851"/>
        <w:rPr>
          <w:sz w:val="24"/>
          <w:szCs w:val="24"/>
        </w:rPr>
      </w:pPr>
      <w:r w:rsidRPr="007A7A0A">
        <w:rPr>
          <w:sz w:val="24"/>
          <w:szCs w:val="24"/>
        </w:rPr>
        <w:t xml:space="preserve">Hos katte kan der observeres reaktioner på injektionsstedet (hævelse, ødem, </w:t>
      </w:r>
      <w:proofErr w:type="spellStart"/>
      <w:r w:rsidRPr="007A7A0A">
        <w:rPr>
          <w:sz w:val="24"/>
          <w:szCs w:val="24"/>
        </w:rPr>
        <w:t>erytem</w:t>
      </w:r>
      <w:proofErr w:type="spellEnd"/>
      <w:r w:rsidRPr="007A7A0A">
        <w:rPr>
          <w:sz w:val="24"/>
          <w:szCs w:val="24"/>
        </w:rPr>
        <w:t xml:space="preserve"> og </w:t>
      </w:r>
      <w:proofErr w:type="spellStart"/>
      <w:r w:rsidRPr="007A7A0A">
        <w:rPr>
          <w:sz w:val="24"/>
          <w:szCs w:val="24"/>
        </w:rPr>
        <w:t>induration</w:t>
      </w:r>
      <w:proofErr w:type="spellEnd"/>
      <w:r w:rsidRPr="007A7A0A">
        <w:rPr>
          <w:sz w:val="24"/>
          <w:szCs w:val="24"/>
        </w:rPr>
        <w:t xml:space="preserve">) efter subkutan injektion i det </w:t>
      </w:r>
      <w:proofErr w:type="spellStart"/>
      <w:r w:rsidRPr="007A7A0A">
        <w:rPr>
          <w:sz w:val="24"/>
          <w:szCs w:val="24"/>
        </w:rPr>
        <w:t>interscapulære</w:t>
      </w:r>
      <w:proofErr w:type="spellEnd"/>
      <w:r w:rsidRPr="007A7A0A">
        <w:rPr>
          <w:sz w:val="24"/>
          <w:szCs w:val="24"/>
        </w:rPr>
        <w:t xml:space="preserve"> område. </w:t>
      </w:r>
    </w:p>
    <w:p w14:paraId="0403768B" w14:textId="77777777" w:rsidR="005B0036" w:rsidRPr="00406EE7" w:rsidRDefault="005B0036" w:rsidP="00FD74B5">
      <w:pPr>
        <w:tabs>
          <w:tab w:val="left" w:pos="851"/>
        </w:tabs>
        <w:ind w:left="851"/>
        <w:rPr>
          <w:sz w:val="24"/>
          <w:szCs w:val="24"/>
        </w:rPr>
      </w:pPr>
    </w:p>
    <w:p w14:paraId="13E76BF8" w14:textId="77777777" w:rsidR="005B0036" w:rsidRPr="00406EE7" w:rsidRDefault="005B0036" w:rsidP="00FD74B5">
      <w:pPr>
        <w:tabs>
          <w:tab w:val="left" w:pos="851"/>
        </w:tabs>
        <w:rPr>
          <w:b/>
          <w:sz w:val="24"/>
          <w:szCs w:val="24"/>
        </w:rPr>
      </w:pPr>
      <w:r w:rsidRPr="00406EE7">
        <w:rPr>
          <w:b/>
          <w:sz w:val="24"/>
          <w:szCs w:val="24"/>
        </w:rPr>
        <w:t>4.7</w:t>
      </w:r>
      <w:r w:rsidRPr="00406EE7">
        <w:rPr>
          <w:b/>
          <w:sz w:val="24"/>
          <w:szCs w:val="24"/>
        </w:rPr>
        <w:tab/>
        <w:t>Drægtighed, diegivning eller æglægning</w:t>
      </w:r>
    </w:p>
    <w:p w14:paraId="76E27C6D" w14:textId="77777777" w:rsidR="00C10080" w:rsidRPr="00C10080" w:rsidRDefault="00C10080" w:rsidP="00FD74B5">
      <w:pPr>
        <w:tabs>
          <w:tab w:val="left" w:pos="851"/>
        </w:tabs>
        <w:ind w:left="851"/>
        <w:rPr>
          <w:i/>
          <w:sz w:val="24"/>
          <w:szCs w:val="24"/>
        </w:rPr>
      </w:pPr>
      <w:r w:rsidRPr="00C10080">
        <w:rPr>
          <w:sz w:val="24"/>
          <w:szCs w:val="24"/>
        </w:rPr>
        <w:t xml:space="preserve">Lægemidlets sikkerhed under drægtighed og laktation er ikke fastlagt hos køer, hopper, tæver og kønsmodne hunkatte. Anvendelsen heraf under drægtighed og laktation hos disse dyrearter bør dog ikke give anledning til særlige problemer. </w:t>
      </w:r>
    </w:p>
    <w:p w14:paraId="349489A2" w14:textId="77777777" w:rsidR="005B0036" w:rsidRPr="00406EE7" w:rsidRDefault="005B0036" w:rsidP="00FD74B5">
      <w:pPr>
        <w:tabs>
          <w:tab w:val="left" w:pos="851"/>
        </w:tabs>
        <w:ind w:left="851"/>
        <w:rPr>
          <w:sz w:val="24"/>
          <w:szCs w:val="24"/>
        </w:rPr>
      </w:pPr>
    </w:p>
    <w:p w14:paraId="4170D1AF" w14:textId="77777777" w:rsidR="005B0036" w:rsidRPr="00406EE7" w:rsidRDefault="005B0036" w:rsidP="00FD74B5">
      <w:pPr>
        <w:tabs>
          <w:tab w:val="left" w:pos="851"/>
        </w:tabs>
        <w:rPr>
          <w:b/>
          <w:sz w:val="24"/>
          <w:szCs w:val="24"/>
        </w:rPr>
      </w:pPr>
      <w:r w:rsidRPr="00406EE7">
        <w:rPr>
          <w:b/>
          <w:sz w:val="24"/>
          <w:szCs w:val="24"/>
        </w:rPr>
        <w:t>4.8</w:t>
      </w:r>
      <w:r w:rsidRPr="00406EE7">
        <w:rPr>
          <w:b/>
          <w:sz w:val="24"/>
          <w:szCs w:val="24"/>
        </w:rPr>
        <w:tab/>
        <w:t>Interaktion med andre lægemidler og andre former for interaktion</w:t>
      </w:r>
    </w:p>
    <w:p w14:paraId="0EAB8733" w14:textId="77777777" w:rsidR="00C10080" w:rsidRPr="00C10080" w:rsidRDefault="00C10080" w:rsidP="00FD74B5">
      <w:pPr>
        <w:tabs>
          <w:tab w:val="left" w:pos="851"/>
        </w:tabs>
        <w:ind w:left="851"/>
        <w:rPr>
          <w:sz w:val="24"/>
          <w:szCs w:val="24"/>
        </w:rPr>
      </w:pPr>
      <w:r w:rsidRPr="00C10080">
        <w:rPr>
          <w:sz w:val="24"/>
          <w:szCs w:val="24"/>
        </w:rPr>
        <w:t>Ingen kendte.</w:t>
      </w:r>
    </w:p>
    <w:p w14:paraId="61AB210A" w14:textId="77777777" w:rsidR="005B0036" w:rsidRPr="00406EE7" w:rsidRDefault="005B0036" w:rsidP="00FD74B5">
      <w:pPr>
        <w:tabs>
          <w:tab w:val="left" w:pos="851"/>
        </w:tabs>
        <w:ind w:left="851"/>
        <w:rPr>
          <w:sz w:val="24"/>
          <w:szCs w:val="24"/>
        </w:rPr>
      </w:pPr>
    </w:p>
    <w:p w14:paraId="7D1F59EA" w14:textId="77777777" w:rsidR="005B0036" w:rsidRPr="00406EE7" w:rsidRDefault="005B0036" w:rsidP="00FD74B5">
      <w:pPr>
        <w:tabs>
          <w:tab w:val="left" w:pos="851"/>
        </w:tabs>
        <w:rPr>
          <w:b/>
          <w:sz w:val="24"/>
          <w:szCs w:val="24"/>
        </w:rPr>
      </w:pPr>
      <w:r w:rsidRPr="00406EE7">
        <w:rPr>
          <w:b/>
          <w:sz w:val="24"/>
          <w:szCs w:val="24"/>
        </w:rPr>
        <w:t>4.9</w:t>
      </w:r>
      <w:r w:rsidRPr="00406EE7">
        <w:rPr>
          <w:b/>
          <w:sz w:val="24"/>
          <w:szCs w:val="24"/>
        </w:rPr>
        <w:tab/>
        <w:t>Dosering og indgivelsesmåde</w:t>
      </w:r>
    </w:p>
    <w:p w14:paraId="1CFB8B52" w14:textId="2992DA5A" w:rsidR="00C10080" w:rsidRPr="006B6861" w:rsidRDefault="00C10080" w:rsidP="00FD74B5">
      <w:pPr>
        <w:pStyle w:val="Brdtekst"/>
        <w:spacing w:before="1" w:line="245" w:lineRule="auto"/>
        <w:ind w:left="851" w:right="157"/>
        <w:rPr>
          <w:i w:val="0"/>
          <w:iCs/>
          <w:sz w:val="24"/>
          <w:szCs w:val="24"/>
        </w:rPr>
      </w:pPr>
      <w:r w:rsidRPr="006B6861">
        <w:rPr>
          <w:i w:val="0"/>
          <w:sz w:val="24"/>
          <w:szCs w:val="24"/>
        </w:rPr>
        <w:t>Kvæg</w:t>
      </w:r>
      <w:r w:rsidR="006B6861">
        <w:rPr>
          <w:i w:val="0"/>
          <w:sz w:val="24"/>
          <w:szCs w:val="24"/>
        </w:rPr>
        <w:t xml:space="preserve"> og</w:t>
      </w:r>
      <w:r w:rsidRPr="006B6861">
        <w:rPr>
          <w:i w:val="0"/>
          <w:sz w:val="24"/>
          <w:szCs w:val="24"/>
        </w:rPr>
        <w:t xml:space="preserve"> heste:</w:t>
      </w:r>
      <w:r w:rsidR="006B6861">
        <w:rPr>
          <w:i w:val="0"/>
          <w:sz w:val="24"/>
          <w:szCs w:val="24"/>
        </w:rPr>
        <w:t xml:space="preserve"> T</w:t>
      </w:r>
      <w:r w:rsidRPr="006B6861">
        <w:rPr>
          <w:i w:val="0"/>
          <w:sz w:val="24"/>
          <w:szCs w:val="24"/>
        </w:rPr>
        <w:t>il intravenøs anvendelse</w:t>
      </w:r>
      <w:r w:rsidR="006B6861">
        <w:rPr>
          <w:i w:val="0"/>
          <w:sz w:val="24"/>
          <w:szCs w:val="24"/>
        </w:rPr>
        <w:t>.</w:t>
      </w:r>
    </w:p>
    <w:p w14:paraId="791C9357" w14:textId="5C2482C2" w:rsidR="00C10080" w:rsidRPr="006B6861" w:rsidRDefault="00C10080" w:rsidP="00FD74B5">
      <w:pPr>
        <w:pStyle w:val="Brdtekst"/>
        <w:spacing w:before="1" w:line="245" w:lineRule="auto"/>
        <w:ind w:left="851" w:right="157"/>
        <w:rPr>
          <w:i w:val="0"/>
          <w:iCs/>
          <w:sz w:val="24"/>
          <w:szCs w:val="24"/>
        </w:rPr>
      </w:pPr>
      <w:r w:rsidRPr="006B6861">
        <w:rPr>
          <w:i w:val="0"/>
          <w:sz w:val="24"/>
          <w:szCs w:val="24"/>
        </w:rPr>
        <w:t>Hunde</w:t>
      </w:r>
      <w:r w:rsidR="006B6861">
        <w:rPr>
          <w:i w:val="0"/>
          <w:sz w:val="24"/>
          <w:szCs w:val="24"/>
        </w:rPr>
        <w:t xml:space="preserve"> og</w:t>
      </w:r>
      <w:r w:rsidRPr="006B6861">
        <w:rPr>
          <w:i w:val="0"/>
          <w:sz w:val="24"/>
          <w:szCs w:val="24"/>
        </w:rPr>
        <w:t xml:space="preserve"> katte: </w:t>
      </w:r>
      <w:r w:rsidR="006B6861">
        <w:rPr>
          <w:i w:val="0"/>
          <w:sz w:val="24"/>
          <w:szCs w:val="24"/>
        </w:rPr>
        <w:t>T</w:t>
      </w:r>
      <w:r w:rsidRPr="006B6861">
        <w:rPr>
          <w:i w:val="0"/>
          <w:sz w:val="24"/>
          <w:szCs w:val="24"/>
        </w:rPr>
        <w:t>il intravenøs, intramuskulær og subkutan anvendelse</w:t>
      </w:r>
      <w:r w:rsidR="006B6861">
        <w:rPr>
          <w:i w:val="0"/>
          <w:sz w:val="24"/>
          <w:szCs w:val="24"/>
        </w:rPr>
        <w:t>.</w:t>
      </w:r>
    </w:p>
    <w:p w14:paraId="584D668B" w14:textId="77777777" w:rsidR="00C10080" w:rsidRPr="006B6861" w:rsidRDefault="00C10080" w:rsidP="00FD74B5">
      <w:pPr>
        <w:pStyle w:val="Brdtekst"/>
        <w:spacing w:before="1" w:line="245" w:lineRule="auto"/>
        <w:ind w:left="851" w:right="157"/>
        <w:rPr>
          <w:i w:val="0"/>
          <w:iCs/>
          <w:sz w:val="24"/>
          <w:szCs w:val="24"/>
        </w:rPr>
      </w:pPr>
    </w:p>
    <w:tbl>
      <w:tblPr>
        <w:tblStyle w:val="Tabel-Gitter"/>
        <w:tblW w:w="0" w:type="auto"/>
        <w:tblInd w:w="846" w:type="dxa"/>
        <w:tblLook w:val="04A0" w:firstRow="1" w:lastRow="0" w:firstColumn="1" w:lastColumn="0" w:noHBand="0" w:noVBand="1"/>
      </w:tblPr>
      <w:tblGrid>
        <w:gridCol w:w="1642"/>
        <w:gridCol w:w="1700"/>
        <w:gridCol w:w="1691"/>
        <w:gridCol w:w="1610"/>
        <w:gridCol w:w="2060"/>
      </w:tblGrid>
      <w:tr w:rsidR="00C10080" w:rsidRPr="006B6861" w14:paraId="7947ED1C" w14:textId="77777777" w:rsidTr="006B6861">
        <w:tc>
          <w:tcPr>
            <w:tcW w:w="1642" w:type="dxa"/>
          </w:tcPr>
          <w:p w14:paraId="2C63B8BD"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Dyrearter / underkategori</w:t>
            </w:r>
          </w:p>
        </w:tc>
        <w:tc>
          <w:tcPr>
            <w:tcW w:w="1700" w:type="dxa"/>
          </w:tcPr>
          <w:p w14:paraId="08B30720"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proofErr w:type="spellStart"/>
            <w:r w:rsidRPr="006B6861">
              <w:rPr>
                <w:rFonts w:ascii="Times New Roman" w:hAnsi="Times New Roman" w:cs="Times New Roman"/>
                <w:i w:val="0"/>
              </w:rPr>
              <w:t>Butafosfan</w:t>
            </w:r>
            <w:proofErr w:type="spellEnd"/>
            <w:r w:rsidRPr="006B6861">
              <w:rPr>
                <w:rFonts w:ascii="Times New Roman" w:hAnsi="Times New Roman" w:cs="Times New Roman"/>
                <w:i w:val="0"/>
              </w:rPr>
              <w:t xml:space="preserve"> (mg/kg)</w:t>
            </w:r>
          </w:p>
        </w:tc>
        <w:tc>
          <w:tcPr>
            <w:tcW w:w="1691" w:type="dxa"/>
          </w:tcPr>
          <w:p w14:paraId="57250FA5"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B</w:t>
            </w:r>
            <w:r w:rsidRPr="006B6861">
              <w:rPr>
                <w:rFonts w:ascii="Times New Roman" w:hAnsi="Times New Roman" w:cs="Times New Roman"/>
                <w:i w:val="0"/>
                <w:vertAlign w:val="subscript"/>
              </w:rPr>
              <w:t>12</w:t>
            </w:r>
            <w:r w:rsidRPr="006B6861">
              <w:rPr>
                <w:rFonts w:ascii="Times New Roman" w:hAnsi="Times New Roman" w:cs="Times New Roman"/>
                <w:i w:val="0"/>
              </w:rPr>
              <w:t>-vitamin (</w:t>
            </w:r>
            <w:proofErr w:type="spellStart"/>
            <w:r w:rsidRPr="006B6861">
              <w:rPr>
                <w:rFonts w:ascii="Times New Roman" w:hAnsi="Times New Roman" w:cs="Times New Roman"/>
                <w:i w:val="0"/>
              </w:rPr>
              <w:t>mikrog</w:t>
            </w:r>
            <w:proofErr w:type="spellEnd"/>
            <w:r w:rsidRPr="006B6861">
              <w:rPr>
                <w:rFonts w:ascii="Times New Roman" w:hAnsi="Times New Roman" w:cs="Times New Roman"/>
                <w:i w:val="0"/>
              </w:rPr>
              <w:t>/kg)</w:t>
            </w:r>
          </w:p>
        </w:tc>
        <w:tc>
          <w:tcPr>
            <w:tcW w:w="1610" w:type="dxa"/>
          </w:tcPr>
          <w:p w14:paraId="43D60F8C"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Præparat (ml/kg)</w:t>
            </w:r>
          </w:p>
        </w:tc>
        <w:tc>
          <w:tcPr>
            <w:tcW w:w="2054" w:type="dxa"/>
          </w:tcPr>
          <w:p w14:paraId="061F4933"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Administrationsvej</w:t>
            </w:r>
          </w:p>
        </w:tc>
      </w:tr>
      <w:tr w:rsidR="00C10080" w:rsidRPr="006B6861" w14:paraId="69FBA5EB" w14:textId="77777777" w:rsidTr="006B6861">
        <w:tc>
          <w:tcPr>
            <w:tcW w:w="1642" w:type="dxa"/>
          </w:tcPr>
          <w:p w14:paraId="5760453B"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Kvæg</w:t>
            </w:r>
          </w:p>
        </w:tc>
        <w:tc>
          <w:tcPr>
            <w:tcW w:w="1700" w:type="dxa"/>
          </w:tcPr>
          <w:p w14:paraId="234CBE3B"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2,0-5,0</w:t>
            </w:r>
          </w:p>
        </w:tc>
        <w:tc>
          <w:tcPr>
            <w:tcW w:w="1691" w:type="dxa"/>
          </w:tcPr>
          <w:p w14:paraId="522A9016"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1,0-2,5</w:t>
            </w:r>
          </w:p>
        </w:tc>
        <w:tc>
          <w:tcPr>
            <w:tcW w:w="1610" w:type="dxa"/>
          </w:tcPr>
          <w:p w14:paraId="45E66DBD"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0,02-0,05</w:t>
            </w:r>
          </w:p>
        </w:tc>
        <w:tc>
          <w:tcPr>
            <w:tcW w:w="2054" w:type="dxa"/>
          </w:tcPr>
          <w:p w14:paraId="340CCC05" w14:textId="77777777" w:rsidR="00C10080" w:rsidRPr="006B6861" w:rsidRDefault="00C10080" w:rsidP="00FD74B5">
            <w:pPr>
              <w:pStyle w:val="Brdtekst"/>
              <w:spacing w:before="1" w:line="245" w:lineRule="auto"/>
              <w:ind w:left="0" w:right="157"/>
              <w:rPr>
                <w:rFonts w:ascii="Times New Roman" w:hAnsi="Times New Roman" w:cs="Times New Roman"/>
                <w:i w:val="0"/>
                <w:iCs/>
              </w:rPr>
            </w:pPr>
            <w:proofErr w:type="spellStart"/>
            <w:r w:rsidRPr="006B6861">
              <w:rPr>
                <w:rFonts w:ascii="Times New Roman" w:hAnsi="Times New Roman" w:cs="Times New Roman"/>
                <w:i w:val="0"/>
              </w:rPr>
              <w:t>i.v</w:t>
            </w:r>
            <w:proofErr w:type="spellEnd"/>
            <w:r w:rsidRPr="006B6861">
              <w:rPr>
                <w:rFonts w:ascii="Times New Roman" w:hAnsi="Times New Roman" w:cs="Times New Roman"/>
                <w:i w:val="0"/>
              </w:rPr>
              <w:t>.</w:t>
            </w:r>
          </w:p>
        </w:tc>
      </w:tr>
      <w:tr w:rsidR="00C10080" w:rsidRPr="006B6861" w14:paraId="5594B529" w14:textId="77777777" w:rsidTr="006B6861">
        <w:tc>
          <w:tcPr>
            <w:tcW w:w="1642" w:type="dxa"/>
          </w:tcPr>
          <w:p w14:paraId="76191ADC"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Kalve</w:t>
            </w:r>
          </w:p>
        </w:tc>
        <w:tc>
          <w:tcPr>
            <w:tcW w:w="1700" w:type="dxa"/>
          </w:tcPr>
          <w:p w14:paraId="3C2858BE"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3,3-5,6</w:t>
            </w:r>
          </w:p>
        </w:tc>
        <w:tc>
          <w:tcPr>
            <w:tcW w:w="1691" w:type="dxa"/>
          </w:tcPr>
          <w:p w14:paraId="72E13D5F"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1,65-2,8</w:t>
            </w:r>
          </w:p>
        </w:tc>
        <w:tc>
          <w:tcPr>
            <w:tcW w:w="1610" w:type="dxa"/>
          </w:tcPr>
          <w:p w14:paraId="45FC693C"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szCs w:val="24"/>
              </w:rPr>
            </w:pPr>
            <w:r w:rsidRPr="006B6861">
              <w:rPr>
                <w:rFonts w:ascii="Times New Roman" w:hAnsi="Times New Roman" w:cs="Times New Roman"/>
                <w:i w:val="0"/>
              </w:rPr>
              <w:t>0,033-0,056</w:t>
            </w:r>
          </w:p>
        </w:tc>
        <w:tc>
          <w:tcPr>
            <w:tcW w:w="2054" w:type="dxa"/>
          </w:tcPr>
          <w:p w14:paraId="7F5E0938" w14:textId="77777777" w:rsidR="00C10080" w:rsidRPr="006B6861" w:rsidRDefault="00C10080" w:rsidP="00FD74B5">
            <w:pPr>
              <w:pStyle w:val="Brdtekst"/>
              <w:spacing w:before="1" w:line="245" w:lineRule="auto"/>
              <w:ind w:left="0" w:right="157"/>
              <w:rPr>
                <w:rFonts w:ascii="Times New Roman" w:hAnsi="Times New Roman" w:cs="Times New Roman"/>
                <w:i w:val="0"/>
                <w:iCs/>
              </w:rPr>
            </w:pPr>
            <w:proofErr w:type="spellStart"/>
            <w:r w:rsidRPr="006B6861">
              <w:rPr>
                <w:rFonts w:ascii="Times New Roman" w:hAnsi="Times New Roman" w:cs="Times New Roman"/>
                <w:i w:val="0"/>
              </w:rPr>
              <w:t>i.v</w:t>
            </w:r>
            <w:proofErr w:type="spellEnd"/>
            <w:r w:rsidRPr="006B6861">
              <w:rPr>
                <w:rFonts w:ascii="Times New Roman" w:hAnsi="Times New Roman" w:cs="Times New Roman"/>
                <w:i w:val="0"/>
              </w:rPr>
              <w:t>.</w:t>
            </w:r>
          </w:p>
        </w:tc>
      </w:tr>
      <w:tr w:rsidR="00C10080" w:rsidRPr="006B6861" w14:paraId="0D3234C0" w14:textId="77777777" w:rsidTr="006B6861">
        <w:tc>
          <w:tcPr>
            <w:tcW w:w="1642" w:type="dxa"/>
          </w:tcPr>
          <w:p w14:paraId="44F6BDA3"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Heste</w:t>
            </w:r>
          </w:p>
        </w:tc>
        <w:tc>
          <w:tcPr>
            <w:tcW w:w="1700" w:type="dxa"/>
          </w:tcPr>
          <w:p w14:paraId="48D5E497"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2,0-5,0</w:t>
            </w:r>
          </w:p>
        </w:tc>
        <w:tc>
          <w:tcPr>
            <w:tcW w:w="1691" w:type="dxa"/>
          </w:tcPr>
          <w:p w14:paraId="50AF4E8B"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1,0-2,5</w:t>
            </w:r>
          </w:p>
        </w:tc>
        <w:tc>
          <w:tcPr>
            <w:tcW w:w="1610" w:type="dxa"/>
          </w:tcPr>
          <w:p w14:paraId="70651498"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0,02-0,05</w:t>
            </w:r>
          </w:p>
        </w:tc>
        <w:tc>
          <w:tcPr>
            <w:tcW w:w="2054" w:type="dxa"/>
          </w:tcPr>
          <w:p w14:paraId="70D3ECD9" w14:textId="77777777" w:rsidR="00C10080" w:rsidRPr="006B6861" w:rsidRDefault="00C10080" w:rsidP="00FD74B5">
            <w:pPr>
              <w:pStyle w:val="Brdtekst"/>
              <w:spacing w:before="1" w:line="245" w:lineRule="auto"/>
              <w:ind w:left="0" w:right="157"/>
              <w:rPr>
                <w:rFonts w:ascii="Times New Roman" w:hAnsi="Times New Roman" w:cs="Times New Roman"/>
                <w:i w:val="0"/>
                <w:iCs/>
              </w:rPr>
            </w:pPr>
            <w:proofErr w:type="spellStart"/>
            <w:r w:rsidRPr="006B6861">
              <w:rPr>
                <w:rFonts w:ascii="Times New Roman" w:hAnsi="Times New Roman" w:cs="Times New Roman"/>
                <w:i w:val="0"/>
              </w:rPr>
              <w:t>i.v</w:t>
            </w:r>
            <w:proofErr w:type="spellEnd"/>
            <w:r w:rsidRPr="006B6861">
              <w:rPr>
                <w:rFonts w:ascii="Times New Roman" w:hAnsi="Times New Roman" w:cs="Times New Roman"/>
                <w:i w:val="0"/>
              </w:rPr>
              <w:t>.</w:t>
            </w:r>
          </w:p>
        </w:tc>
      </w:tr>
      <w:tr w:rsidR="00C10080" w:rsidRPr="006B6861" w14:paraId="2F5ADBB4" w14:textId="77777777" w:rsidTr="006B6861">
        <w:tc>
          <w:tcPr>
            <w:tcW w:w="1642" w:type="dxa"/>
          </w:tcPr>
          <w:p w14:paraId="5A1E5D39"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Føl</w:t>
            </w:r>
          </w:p>
        </w:tc>
        <w:tc>
          <w:tcPr>
            <w:tcW w:w="1700" w:type="dxa"/>
          </w:tcPr>
          <w:p w14:paraId="59EB4BBE"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3,3-5,6</w:t>
            </w:r>
          </w:p>
        </w:tc>
        <w:tc>
          <w:tcPr>
            <w:tcW w:w="1691" w:type="dxa"/>
          </w:tcPr>
          <w:p w14:paraId="32C5916A"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1,65-2,8</w:t>
            </w:r>
          </w:p>
        </w:tc>
        <w:tc>
          <w:tcPr>
            <w:tcW w:w="1610" w:type="dxa"/>
          </w:tcPr>
          <w:p w14:paraId="60685DBB"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0,033-0,056</w:t>
            </w:r>
          </w:p>
        </w:tc>
        <w:tc>
          <w:tcPr>
            <w:tcW w:w="2054" w:type="dxa"/>
          </w:tcPr>
          <w:p w14:paraId="1EE0C10D" w14:textId="77777777" w:rsidR="00C10080" w:rsidRPr="006B6861" w:rsidRDefault="00C10080" w:rsidP="00FD74B5">
            <w:pPr>
              <w:pStyle w:val="Brdtekst"/>
              <w:spacing w:before="1" w:line="245" w:lineRule="auto"/>
              <w:ind w:left="0" w:right="157"/>
              <w:rPr>
                <w:rFonts w:ascii="Times New Roman" w:hAnsi="Times New Roman" w:cs="Times New Roman"/>
                <w:i w:val="0"/>
                <w:iCs/>
              </w:rPr>
            </w:pPr>
            <w:proofErr w:type="spellStart"/>
            <w:r w:rsidRPr="006B6861">
              <w:rPr>
                <w:rFonts w:ascii="Times New Roman" w:hAnsi="Times New Roman" w:cs="Times New Roman"/>
                <w:i w:val="0"/>
              </w:rPr>
              <w:t>i.v</w:t>
            </w:r>
            <w:proofErr w:type="spellEnd"/>
            <w:r w:rsidRPr="006B6861">
              <w:rPr>
                <w:rFonts w:ascii="Times New Roman" w:hAnsi="Times New Roman" w:cs="Times New Roman"/>
                <w:i w:val="0"/>
              </w:rPr>
              <w:t>.</w:t>
            </w:r>
          </w:p>
        </w:tc>
      </w:tr>
      <w:tr w:rsidR="00C10080" w:rsidRPr="006B6861" w14:paraId="4F49FABC" w14:textId="77777777" w:rsidTr="006B6861">
        <w:tc>
          <w:tcPr>
            <w:tcW w:w="1642" w:type="dxa"/>
          </w:tcPr>
          <w:p w14:paraId="4BAB42E9"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Hunde</w:t>
            </w:r>
          </w:p>
        </w:tc>
        <w:tc>
          <w:tcPr>
            <w:tcW w:w="1700" w:type="dxa"/>
          </w:tcPr>
          <w:p w14:paraId="0432B92B"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2,5-25</w:t>
            </w:r>
          </w:p>
        </w:tc>
        <w:tc>
          <w:tcPr>
            <w:tcW w:w="1691" w:type="dxa"/>
          </w:tcPr>
          <w:p w14:paraId="28F655E7"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1,25-12,5</w:t>
            </w:r>
          </w:p>
        </w:tc>
        <w:tc>
          <w:tcPr>
            <w:tcW w:w="1610" w:type="dxa"/>
          </w:tcPr>
          <w:p w14:paraId="0D4A4A00"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0,025-0,25</w:t>
            </w:r>
          </w:p>
        </w:tc>
        <w:tc>
          <w:tcPr>
            <w:tcW w:w="2054" w:type="dxa"/>
          </w:tcPr>
          <w:p w14:paraId="7605959F" w14:textId="77777777" w:rsidR="00C10080" w:rsidRPr="006B6861" w:rsidRDefault="00C10080" w:rsidP="00FD74B5">
            <w:pPr>
              <w:pStyle w:val="Brdtekst"/>
              <w:spacing w:before="1" w:line="245" w:lineRule="auto"/>
              <w:ind w:left="0" w:right="157"/>
              <w:rPr>
                <w:rFonts w:ascii="Times New Roman" w:hAnsi="Times New Roman" w:cs="Times New Roman"/>
                <w:i w:val="0"/>
                <w:iCs/>
              </w:rPr>
            </w:pPr>
            <w:proofErr w:type="spellStart"/>
            <w:r w:rsidRPr="006B6861">
              <w:rPr>
                <w:rFonts w:ascii="Times New Roman" w:hAnsi="Times New Roman" w:cs="Times New Roman"/>
                <w:i w:val="0"/>
              </w:rPr>
              <w:t>i.v</w:t>
            </w:r>
            <w:proofErr w:type="spellEnd"/>
            <w:r w:rsidRPr="006B6861">
              <w:rPr>
                <w:rFonts w:ascii="Times New Roman" w:hAnsi="Times New Roman" w:cs="Times New Roman"/>
                <w:i w:val="0"/>
              </w:rPr>
              <w:t>./</w:t>
            </w:r>
            <w:proofErr w:type="spellStart"/>
            <w:r w:rsidRPr="006B6861">
              <w:rPr>
                <w:rFonts w:ascii="Times New Roman" w:hAnsi="Times New Roman" w:cs="Times New Roman"/>
                <w:i w:val="0"/>
              </w:rPr>
              <w:t>i.m</w:t>
            </w:r>
            <w:proofErr w:type="spellEnd"/>
            <w:r w:rsidRPr="006B6861">
              <w:rPr>
                <w:rFonts w:ascii="Times New Roman" w:hAnsi="Times New Roman" w:cs="Times New Roman"/>
                <w:i w:val="0"/>
              </w:rPr>
              <w:t>./</w:t>
            </w:r>
            <w:proofErr w:type="spellStart"/>
            <w:r w:rsidRPr="006B6861">
              <w:rPr>
                <w:rFonts w:ascii="Times New Roman" w:hAnsi="Times New Roman" w:cs="Times New Roman"/>
                <w:i w:val="0"/>
              </w:rPr>
              <w:t>s.c</w:t>
            </w:r>
            <w:proofErr w:type="spellEnd"/>
            <w:r w:rsidRPr="006B6861">
              <w:rPr>
                <w:rFonts w:ascii="Times New Roman" w:hAnsi="Times New Roman" w:cs="Times New Roman"/>
                <w:i w:val="0"/>
              </w:rPr>
              <w:t>.</w:t>
            </w:r>
          </w:p>
        </w:tc>
      </w:tr>
      <w:tr w:rsidR="00C10080" w:rsidRPr="006B6861" w14:paraId="0CEBDA27" w14:textId="77777777" w:rsidTr="006B6861">
        <w:tc>
          <w:tcPr>
            <w:tcW w:w="1642" w:type="dxa"/>
          </w:tcPr>
          <w:p w14:paraId="6424CF71" w14:textId="77777777" w:rsidR="00C10080" w:rsidRPr="006B6861" w:rsidRDefault="00C10080" w:rsidP="00FD74B5">
            <w:pPr>
              <w:pStyle w:val="Brdtekst"/>
              <w:spacing w:before="1" w:line="245" w:lineRule="auto"/>
              <w:ind w:left="0" w:right="157"/>
              <w:rPr>
                <w:rFonts w:ascii="Times New Roman" w:hAnsi="Times New Roman" w:cs="Times New Roman"/>
                <w:i w:val="0"/>
                <w:iCs/>
              </w:rPr>
            </w:pPr>
            <w:r w:rsidRPr="006B6861">
              <w:rPr>
                <w:rFonts w:ascii="Times New Roman" w:hAnsi="Times New Roman" w:cs="Times New Roman"/>
                <w:i w:val="0"/>
              </w:rPr>
              <w:t>Katte</w:t>
            </w:r>
          </w:p>
        </w:tc>
        <w:tc>
          <w:tcPr>
            <w:tcW w:w="1700" w:type="dxa"/>
          </w:tcPr>
          <w:p w14:paraId="73371763"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10-50</w:t>
            </w:r>
          </w:p>
        </w:tc>
        <w:tc>
          <w:tcPr>
            <w:tcW w:w="1691" w:type="dxa"/>
          </w:tcPr>
          <w:p w14:paraId="23891C0A"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5,0-25</w:t>
            </w:r>
          </w:p>
        </w:tc>
        <w:tc>
          <w:tcPr>
            <w:tcW w:w="1610" w:type="dxa"/>
          </w:tcPr>
          <w:p w14:paraId="5E0574D6" w14:textId="77777777" w:rsidR="00C10080" w:rsidRPr="006B6861" w:rsidRDefault="00C10080" w:rsidP="00FD74B5">
            <w:pPr>
              <w:pStyle w:val="Brdtekst"/>
              <w:spacing w:before="1" w:line="245" w:lineRule="auto"/>
              <w:ind w:left="0" w:right="157"/>
              <w:jc w:val="center"/>
              <w:rPr>
                <w:rFonts w:ascii="Times New Roman" w:hAnsi="Times New Roman" w:cs="Times New Roman"/>
                <w:i w:val="0"/>
                <w:iCs/>
              </w:rPr>
            </w:pPr>
            <w:r w:rsidRPr="006B6861">
              <w:rPr>
                <w:rFonts w:ascii="Times New Roman" w:hAnsi="Times New Roman" w:cs="Times New Roman"/>
                <w:i w:val="0"/>
              </w:rPr>
              <w:t>0,1-0,5</w:t>
            </w:r>
          </w:p>
        </w:tc>
        <w:tc>
          <w:tcPr>
            <w:tcW w:w="2054" w:type="dxa"/>
          </w:tcPr>
          <w:p w14:paraId="12602158" w14:textId="77777777" w:rsidR="00C10080" w:rsidRPr="006B6861" w:rsidRDefault="00C10080" w:rsidP="00FD74B5">
            <w:pPr>
              <w:pStyle w:val="Brdtekst"/>
              <w:spacing w:before="1" w:line="245" w:lineRule="auto"/>
              <w:ind w:left="0" w:right="157"/>
              <w:rPr>
                <w:rFonts w:ascii="Times New Roman" w:hAnsi="Times New Roman" w:cs="Times New Roman"/>
                <w:i w:val="0"/>
                <w:iCs/>
              </w:rPr>
            </w:pPr>
            <w:proofErr w:type="spellStart"/>
            <w:r w:rsidRPr="006B6861">
              <w:rPr>
                <w:rFonts w:ascii="Times New Roman" w:hAnsi="Times New Roman" w:cs="Times New Roman"/>
                <w:i w:val="0"/>
              </w:rPr>
              <w:t>i.v</w:t>
            </w:r>
            <w:proofErr w:type="spellEnd"/>
            <w:r w:rsidRPr="006B6861">
              <w:rPr>
                <w:rFonts w:ascii="Times New Roman" w:hAnsi="Times New Roman" w:cs="Times New Roman"/>
                <w:i w:val="0"/>
              </w:rPr>
              <w:t>./</w:t>
            </w:r>
            <w:proofErr w:type="spellStart"/>
            <w:r w:rsidRPr="006B6861">
              <w:rPr>
                <w:rFonts w:ascii="Times New Roman" w:hAnsi="Times New Roman" w:cs="Times New Roman"/>
                <w:i w:val="0"/>
              </w:rPr>
              <w:t>i.m</w:t>
            </w:r>
            <w:proofErr w:type="spellEnd"/>
            <w:r w:rsidRPr="006B6861">
              <w:rPr>
                <w:rFonts w:ascii="Times New Roman" w:hAnsi="Times New Roman" w:cs="Times New Roman"/>
                <w:i w:val="0"/>
              </w:rPr>
              <w:t>./</w:t>
            </w:r>
            <w:proofErr w:type="spellStart"/>
            <w:r w:rsidRPr="006B6861">
              <w:rPr>
                <w:rFonts w:ascii="Times New Roman" w:hAnsi="Times New Roman" w:cs="Times New Roman"/>
                <w:i w:val="0"/>
              </w:rPr>
              <w:t>s.c</w:t>
            </w:r>
            <w:proofErr w:type="spellEnd"/>
            <w:r w:rsidRPr="006B6861">
              <w:rPr>
                <w:rFonts w:ascii="Times New Roman" w:hAnsi="Times New Roman" w:cs="Times New Roman"/>
                <w:i w:val="0"/>
              </w:rPr>
              <w:t>.</w:t>
            </w:r>
          </w:p>
        </w:tc>
      </w:tr>
    </w:tbl>
    <w:p w14:paraId="4F1CD1F3" w14:textId="77777777" w:rsidR="00C10080" w:rsidRPr="00C10080" w:rsidRDefault="00C10080" w:rsidP="00FD74B5">
      <w:pPr>
        <w:pStyle w:val="Brdtekst"/>
        <w:spacing w:before="1" w:line="245" w:lineRule="auto"/>
        <w:ind w:left="851" w:right="157"/>
        <w:rPr>
          <w:i w:val="0"/>
          <w:iCs/>
          <w:sz w:val="24"/>
          <w:szCs w:val="24"/>
        </w:rPr>
      </w:pPr>
    </w:p>
    <w:p w14:paraId="1FAF3191" w14:textId="355B805F" w:rsidR="00C10080" w:rsidRPr="00C10080" w:rsidRDefault="00C10080" w:rsidP="00FD74B5">
      <w:pPr>
        <w:pStyle w:val="Brdtekst"/>
        <w:spacing w:before="1" w:line="245" w:lineRule="auto"/>
        <w:ind w:left="851" w:right="157"/>
        <w:rPr>
          <w:i w:val="0"/>
          <w:iCs/>
          <w:sz w:val="24"/>
          <w:szCs w:val="24"/>
        </w:rPr>
      </w:pPr>
      <w:r w:rsidRPr="00C10080">
        <w:rPr>
          <w:i w:val="0"/>
          <w:sz w:val="24"/>
          <w:szCs w:val="24"/>
        </w:rPr>
        <w:t xml:space="preserve">Gentag behandlingen </w:t>
      </w:r>
      <w:r w:rsidR="00127675">
        <w:rPr>
          <w:i w:val="0"/>
          <w:sz w:val="24"/>
          <w:szCs w:val="24"/>
        </w:rPr>
        <w:t>en</w:t>
      </w:r>
      <w:r w:rsidRPr="00C10080">
        <w:rPr>
          <w:i w:val="0"/>
          <w:sz w:val="24"/>
          <w:szCs w:val="24"/>
        </w:rPr>
        <w:t xml:space="preserve"> gang </w:t>
      </w:r>
      <w:r w:rsidR="00127675">
        <w:rPr>
          <w:i w:val="0"/>
          <w:sz w:val="24"/>
          <w:szCs w:val="24"/>
        </w:rPr>
        <w:t>daglig</w:t>
      </w:r>
      <w:r w:rsidRPr="00C10080">
        <w:rPr>
          <w:i w:val="0"/>
          <w:sz w:val="24"/>
          <w:szCs w:val="24"/>
        </w:rPr>
        <w:t>, hvis det er nødvendigt.</w:t>
      </w:r>
    </w:p>
    <w:p w14:paraId="1F0D5CCC" w14:textId="77777777" w:rsidR="00C10080" w:rsidRPr="00C10080" w:rsidRDefault="00C10080" w:rsidP="00FD74B5">
      <w:pPr>
        <w:pStyle w:val="Brdtekst"/>
        <w:spacing w:before="1" w:line="245" w:lineRule="auto"/>
        <w:ind w:left="851" w:right="157"/>
        <w:rPr>
          <w:i w:val="0"/>
          <w:iCs/>
          <w:sz w:val="24"/>
          <w:szCs w:val="24"/>
        </w:rPr>
      </w:pPr>
    </w:p>
    <w:p w14:paraId="5EADBEC5" w14:textId="77777777" w:rsidR="00C10080" w:rsidRPr="00C10080" w:rsidRDefault="00C10080" w:rsidP="00FD74B5">
      <w:pPr>
        <w:pStyle w:val="Brdtekst"/>
        <w:spacing w:before="1" w:line="245" w:lineRule="auto"/>
        <w:ind w:left="851" w:right="157"/>
        <w:rPr>
          <w:i w:val="0"/>
          <w:iCs/>
          <w:sz w:val="24"/>
          <w:szCs w:val="24"/>
        </w:rPr>
      </w:pPr>
      <w:r w:rsidRPr="00C10080">
        <w:rPr>
          <w:i w:val="0"/>
          <w:sz w:val="24"/>
          <w:szCs w:val="24"/>
        </w:rPr>
        <w:t>Proppen kan punkteres sikkert op til 40 gange. Hvis det er nødvendigt med mere end 40 anbrud, anbefales det at bruge en optrækningskanyle.</w:t>
      </w:r>
    </w:p>
    <w:p w14:paraId="4A7C8267" w14:textId="77777777" w:rsidR="00C10080" w:rsidRPr="00C10080" w:rsidRDefault="00C10080" w:rsidP="00FD74B5">
      <w:pPr>
        <w:pStyle w:val="Brdtekst"/>
        <w:spacing w:before="1" w:line="245" w:lineRule="auto"/>
        <w:ind w:left="851" w:right="157"/>
        <w:rPr>
          <w:i w:val="0"/>
          <w:iCs/>
          <w:sz w:val="24"/>
          <w:szCs w:val="24"/>
        </w:rPr>
      </w:pPr>
      <w:r w:rsidRPr="00C10080">
        <w:rPr>
          <w:i w:val="0"/>
          <w:sz w:val="24"/>
          <w:szCs w:val="24"/>
        </w:rPr>
        <w:t>Det anbefales at bruge en pakning med 100 ml til behandling af hunde og katte.</w:t>
      </w:r>
    </w:p>
    <w:p w14:paraId="6834CDD9" w14:textId="77777777" w:rsidR="005B0036" w:rsidRPr="00C10080" w:rsidRDefault="005B0036" w:rsidP="00FD74B5">
      <w:pPr>
        <w:tabs>
          <w:tab w:val="left" w:pos="851"/>
        </w:tabs>
        <w:ind w:left="851"/>
        <w:rPr>
          <w:sz w:val="24"/>
          <w:szCs w:val="24"/>
        </w:rPr>
      </w:pPr>
    </w:p>
    <w:p w14:paraId="4CC9DD4A" w14:textId="77777777" w:rsidR="005B0036" w:rsidRPr="00406EE7" w:rsidRDefault="005B0036" w:rsidP="00FD74B5">
      <w:pPr>
        <w:tabs>
          <w:tab w:val="left" w:pos="851"/>
        </w:tabs>
        <w:rPr>
          <w:b/>
          <w:sz w:val="24"/>
          <w:szCs w:val="24"/>
        </w:rPr>
      </w:pPr>
      <w:r w:rsidRPr="00406EE7">
        <w:rPr>
          <w:b/>
          <w:sz w:val="24"/>
          <w:szCs w:val="24"/>
        </w:rPr>
        <w:t>4.10</w:t>
      </w:r>
      <w:r w:rsidRPr="00406EE7">
        <w:rPr>
          <w:b/>
          <w:sz w:val="24"/>
          <w:szCs w:val="24"/>
        </w:rPr>
        <w:tab/>
        <w:t>Overdosering</w:t>
      </w:r>
    </w:p>
    <w:p w14:paraId="086B9F30" w14:textId="77777777" w:rsidR="00D821E1" w:rsidRPr="00D821E1" w:rsidRDefault="00D821E1" w:rsidP="00FD74B5">
      <w:pPr>
        <w:tabs>
          <w:tab w:val="left" w:pos="851"/>
        </w:tabs>
        <w:ind w:left="851"/>
        <w:rPr>
          <w:iCs/>
          <w:sz w:val="24"/>
          <w:szCs w:val="24"/>
        </w:rPr>
      </w:pPr>
      <w:r w:rsidRPr="00D821E1">
        <w:rPr>
          <w:sz w:val="24"/>
          <w:szCs w:val="24"/>
        </w:rPr>
        <w:t>Ingen kendte.</w:t>
      </w:r>
    </w:p>
    <w:p w14:paraId="387DE4B9" w14:textId="77777777" w:rsidR="005B0036" w:rsidRPr="00406EE7" w:rsidRDefault="005B0036" w:rsidP="00FD74B5">
      <w:pPr>
        <w:tabs>
          <w:tab w:val="left" w:pos="851"/>
        </w:tabs>
        <w:ind w:left="851"/>
        <w:rPr>
          <w:sz w:val="24"/>
          <w:szCs w:val="24"/>
        </w:rPr>
      </w:pPr>
    </w:p>
    <w:p w14:paraId="50BC512B" w14:textId="77777777" w:rsidR="005B0036" w:rsidRPr="00406EE7" w:rsidRDefault="005B0036" w:rsidP="00FD74B5">
      <w:pPr>
        <w:tabs>
          <w:tab w:val="left" w:pos="851"/>
        </w:tabs>
        <w:rPr>
          <w:b/>
          <w:sz w:val="24"/>
          <w:szCs w:val="24"/>
        </w:rPr>
      </w:pPr>
      <w:r w:rsidRPr="00406EE7">
        <w:rPr>
          <w:b/>
          <w:sz w:val="24"/>
          <w:szCs w:val="24"/>
        </w:rPr>
        <w:t>4.11</w:t>
      </w:r>
      <w:r w:rsidRPr="00406EE7">
        <w:rPr>
          <w:b/>
          <w:sz w:val="24"/>
          <w:szCs w:val="24"/>
        </w:rPr>
        <w:tab/>
        <w:t>Tilbageholdelsestid</w:t>
      </w:r>
    </w:p>
    <w:p w14:paraId="523DB159" w14:textId="77777777" w:rsidR="0076680C" w:rsidRDefault="0076680C" w:rsidP="00FD74B5">
      <w:pPr>
        <w:pStyle w:val="Sidehoved"/>
        <w:ind w:left="851"/>
        <w:rPr>
          <w:szCs w:val="24"/>
          <w:u w:val="single"/>
        </w:rPr>
      </w:pPr>
    </w:p>
    <w:p w14:paraId="7E4C9516" w14:textId="5130A52E" w:rsidR="00D821E1" w:rsidRPr="00D821E1" w:rsidRDefault="00D821E1" w:rsidP="00FD74B5">
      <w:pPr>
        <w:pStyle w:val="Sidehoved"/>
        <w:ind w:left="851"/>
        <w:rPr>
          <w:iCs/>
          <w:szCs w:val="24"/>
          <w:u w:val="single"/>
        </w:rPr>
      </w:pPr>
      <w:r w:rsidRPr="00D821E1">
        <w:rPr>
          <w:szCs w:val="24"/>
          <w:u w:val="single"/>
        </w:rPr>
        <w:t>Kvæg</w:t>
      </w:r>
      <w:r>
        <w:rPr>
          <w:szCs w:val="24"/>
          <w:u w:val="single"/>
        </w:rPr>
        <w:t xml:space="preserve"> og</w:t>
      </w:r>
      <w:r w:rsidRPr="00D821E1">
        <w:rPr>
          <w:szCs w:val="24"/>
          <w:u w:val="single"/>
        </w:rPr>
        <w:t xml:space="preserve"> heste</w:t>
      </w:r>
    </w:p>
    <w:p w14:paraId="5B0062B4" w14:textId="5030E343" w:rsidR="00D821E1" w:rsidRPr="00D821E1" w:rsidRDefault="00D821E1" w:rsidP="00FD74B5">
      <w:pPr>
        <w:pStyle w:val="Sidehoved"/>
        <w:ind w:left="851"/>
        <w:rPr>
          <w:iCs/>
          <w:szCs w:val="24"/>
        </w:rPr>
      </w:pPr>
      <w:r w:rsidRPr="00D821E1">
        <w:rPr>
          <w:szCs w:val="24"/>
        </w:rPr>
        <w:t>Slagtning: 0 dage</w:t>
      </w:r>
      <w:r>
        <w:rPr>
          <w:szCs w:val="24"/>
        </w:rPr>
        <w:t>.</w:t>
      </w:r>
    </w:p>
    <w:p w14:paraId="38D77B04" w14:textId="7E8B601F" w:rsidR="00D821E1" w:rsidRPr="00D821E1" w:rsidRDefault="00D821E1" w:rsidP="00FD74B5">
      <w:pPr>
        <w:pStyle w:val="Sidehoved"/>
        <w:ind w:left="851"/>
        <w:rPr>
          <w:iCs/>
          <w:szCs w:val="24"/>
        </w:rPr>
      </w:pPr>
      <w:r w:rsidRPr="00D821E1">
        <w:rPr>
          <w:szCs w:val="24"/>
        </w:rPr>
        <w:t>Mælk: 0 timer</w:t>
      </w:r>
      <w:r>
        <w:rPr>
          <w:szCs w:val="24"/>
        </w:rPr>
        <w:t>.</w:t>
      </w:r>
    </w:p>
    <w:p w14:paraId="27788939" w14:textId="77777777" w:rsidR="005B0036" w:rsidRPr="00406EE7" w:rsidRDefault="005B0036" w:rsidP="00FD74B5">
      <w:pPr>
        <w:pStyle w:val="Sidehoved"/>
        <w:tabs>
          <w:tab w:val="clear" w:pos="4819"/>
        </w:tabs>
        <w:ind w:left="851"/>
        <w:rPr>
          <w:szCs w:val="24"/>
        </w:rPr>
      </w:pPr>
    </w:p>
    <w:p w14:paraId="563523A0" w14:textId="77777777" w:rsidR="005B0036" w:rsidRPr="00406EE7" w:rsidRDefault="005B0036" w:rsidP="00FD74B5">
      <w:pPr>
        <w:tabs>
          <w:tab w:val="left" w:pos="851"/>
        </w:tabs>
        <w:ind w:left="851"/>
        <w:rPr>
          <w:sz w:val="24"/>
          <w:szCs w:val="24"/>
        </w:rPr>
      </w:pPr>
    </w:p>
    <w:p w14:paraId="4FA49BBF" w14:textId="70B1167C" w:rsidR="005B0036" w:rsidRPr="00406EE7" w:rsidRDefault="005B0036" w:rsidP="00FD74B5">
      <w:pPr>
        <w:ind w:left="851" w:hanging="851"/>
        <w:rPr>
          <w:b/>
          <w:sz w:val="24"/>
          <w:szCs w:val="24"/>
        </w:rPr>
      </w:pPr>
      <w:r w:rsidRPr="00107A66">
        <w:rPr>
          <w:b/>
          <w:sz w:val="24"/>
          <w:szCs w:val="24"/>
        </w:rPr>
        <w:t>5.</w:t>
      </w:r>
      <w:r w:rsidRPr="00107A66">
        <w:rPr>
          <w:b/>
          <w:sz w:val="24"/>
          <w:szCs w:val="24"/>
        </w:rPr>
        <w:tab/>
        <w:t>FARMAKOLOGISKE EGENSKABER</w:t>
      </w:r>
    </w:p>
    <w:p w14:paraId="78F7DA6E" w14:textId="77777777" w:rsidR="005B0036" w:rsidRDefault="005B0036" w:rsidP="00FD74B5">
      <w:pPr>
        <w:ind w:left="851"/>
        <w:rPr>
          <w:sz w:val="24"/>
          <w:szCs w:val="24"/>
        </w:rPr>
      </w:pPr>
    </w:p>
    <w:p w14:paraId="3E451A3A" w14:textId="6BFF8C5D" w:rsidR="00D821E1" w:rsidRPr="00D821E1" w:rsidRDefault="00D821E1" w:rsidP="00FD74B5">
      <w:pPr>
        <w:ind w:left="851"/>
        <w:rPr>
          <w:sz w:val="24"/>
          <w:szCs w:val="24"/>
        </w:rPr>
      </w:pPr>
      <w:proofErr w:type="spellStart"/>
      <w:r w:rsidRPr="00D821E1">
        <w:rPr>
          <w:sz w:val="24"/>
          <w:szCs w:val="24"/>
        </w:rPr>
        <w:t>Farmakoterapeutisk</w:t>
      </w:r>
      <w:proofErr w:type="spellEnd"/>
      <w:r w:rsidRPr="00D821E1">
        <w:rPr>
          <w:sz w:val="24"/>
          <w:szCs w:val="24"/>
        </w:rPr>
        <w:t xml:space="preserve"> gruppe: </w:t>
      </w:r>
      <w:r>
        <w:rPr>
          <w:sz w:val="24"/>
          <w:szCs w:val="24"/>
        </w:rPr>
        <w:t>M</w:t>
      </w:r>
      <w:r w:rsidRPr="00D821E1">
        <w:rPr>
          <w:sz w:val="24"/>
          <w:szCs w:val="24"/>
        </w:rPr>
        <w:t>ineraltilskud, andre mineralpræparater, kombinationer.</w:t>
      </w:r>
    </w:p>
    <w:p w14:paraId="7C0C096B" w14:textId="77777777" w:rsidR="00D821E1" w:rsidRPr="00D821E1" w:rsidRDefault="00D821E1" w:rsidP="00FD74B5">
      <w:pPr>
        <w:ind w:left="851"/>
        <w:rPr>
          <w:sz w:val="24"/>
          <w:szCs w:val="24"/>
        </w:rPr>
      </w:pPr>
      <w:proofErr w:type="spellStart"/>
      <w:r w:rsidRPr="00D821E1">
        <w:rPr>
          <w:sz w:val="24"/>
          <w:szCs w:val="24"/>
        </w:rPr>
        <w:t>ATCvet</w:t>
      </w:r>
      <w:proofErr w:type="spellEnd"/>
      <w:r w:rsidRPr="00D821E1">
        <w:rPr>
          <w:sz w:val="24"/>
          <w:szCs w:val="24"/>
        </w:rPr>
        <w:t>-kode: QA12CX99.</w:t>
      </w:r>
    </w:p>
    <w:p w14:paraId="74D252B7" w14:textId="77777777" w:rsidR="00D821E1" w:rsidRPr="00D821E1" w:rsidRDefault="00D821E1" w:rsidP="00FD74B5">
      <w:pPr>
        <w:ind w:left="851"/>
        <w:rPr>
          <w:sz w:val="24"/>
          <w:szCs w:val="24"/>
        </w:rPr>
      </w:pPr>
    </w:p>
    <w:p w14:paraId="28B275E1" w14:textId="5D7444DB" w:rsidR="005B0036" w:rsidRPr="00406EE7" w:rsidRDefault="005B0036" w:rsidP="00FD74B5">
      <w:pPr>
        <w:tabs>
          <w:tab w:val="left" w:pos="851"/>
        </w:tabs>
        <w:rPr>
          <w:b/>
          <w:sz w:val="24"/>
          <w:szCs w:val="24"/>
        </w:rPr>
      </w:pPr>
      <w:r w:rsidRPr="00F719E8">
        <w:rPr>
          <w:b/>
          <w:sz w:val="24"/>
          <w:szCs w:val="24"/>
        </w:rPr>
        <w:t>5.1</w:t>
      </w:r>
      <w:r w:rsidRPr="00F719E8">
        <w:rPr>
          <w:b/>
          <w:sz w:val="24"/>
          <w:szCs w:val="24"/>
        </w:rPr>
        <w:tab/>
      </w:r>
      <w:proofErr w:type="spellStart"/>
      <w:r w:rsidRPr="00F719E8">
        <w:rPr>
          <w:b/>
          <w:sz w:val="24"/>
          <w:szCs w:val="24"/>
        </w:rPr>
        <w:t>Farmakodynamiske</w:t>
      </w:r>
      <w:proofErr w:type="spellEnd"/>
      <w:r w:rsidRPr="00F719E8">
        <w:rPr>
          <w:b/>
          <w:sz w:val="24"/>
          <w:szCs w:val="24"/>
        </w:rPr>
        <w:t xml:space="preserve"> egenskaber</w:t>
      </w:r>
    </w:p>
    <w:p w14:paraId="650F497D" w14:textId="77777777" w:rsidR="00F719E8" w:rsidRPr="00F719E8" w:rsidRDefault="00F719E8" w:rsidP="00FD74B5">
      <w:pPr>
        <w:tabs>
          <w:tab w:val="left" w:pos="851"/>
        </w:tabs>
        <w:ind w:left="851"/>
        <w:rPr>
          <w:bCs/>
          <w:sz w:val="24"/>
          <w:szCs w:val="24"/>
        </w:rPr>
      </w:pPr>
      <w:proofErr w:type="spellStart"/>
      <w:r w:rsidRPr="00F719E8">
        <w:rPr>
          <w:sz w:val="24"/>
          <w:szCs w:val="24"/>
        </w:rPr>
        <w:t>Butafosfan</w:t>
      </w:r>
      <w:proofErr w:type="spellEnd"/>
      <w:r w:rsidRPr="00F719E8">
        <w:rPr>
          <w:sz w:val="24"/>
          <w:szCs w:val="24"/>
        </w:rPr>
        <w:t xml:space="preserve"> er en organisk </w:t>
      </w:r>
      <w:proofErr w:type="spellStart"/>
      <w:r w:rsidRPr="00F719E8">
        <w:rPr>
          <w:sz w:val="24"/>
          <w:szCs w:val="24"/>
        </w:rPr>
        <w:t>phosphorkilde</w:t>
      </w:r>
      <w:proofErr w:type="spellEnd"/>
      <w:r w:rsidRPr="00F719E8">
        <w:rPr>
          <w:sz w:val="24"/>
          <w:szCs w:val="24"/>
        </w:rPr>
        <w:t xml:space="preserve"> til dyrs stofskifte. </w:t>
      </w:r>
      <w:proofErr w:type="spellStart"/>
      <w:r w:rsidRPr="00F719E8">
        <w:rPr>
          <w:sz w:val="24"/>
          <w:szCs w:val="24"/>
        </w:rPr>
        <w:t>Phosphor</w:t>
      </w:r>
      <w:proofErr w:type="spellEnd"/>
      <w:r w:rsidRPr="00F719E8">
        <w:rPr>
          <w:sz w:val="24"/>
          <w:szCs w:val="24"/>
        </w:rPr>
        <w:t xml:space="preserve"> er blandt andet relevant for energistofskiftet. Det er essentielt for </w:t>
      </w:r>
      <w:proofErr w:type="spellStart"/>
      <w:r w:rsidRPr="00F719E8">
        <w:rPr>
          <w:sz w:val="24"/>
          <w:szCs w:val="24"/>
        </w:rPr>
        <w:t>glukoneogenesen</w:t>
      </w:r>
      <w:proofErr w:type="spellEnd"/>
      <w:r w:rsidRPr="00F719E8">
        <w:rPr>
          <w:sz w:val="24"/>
          <w:szCs w:val="24"/>
        </w:rPr>
        <w:t xml:space="preserve">, da de fleste mellemprodukter i denne proces skal </w:t>
      </w:r>
      <w:proofErr w:type="spellStart"/>
      <w:r w:rsidRPr="00F719E8">
        <w:rPr>
          <w:sz w:val="24"/>
          <w:szCs w:val="24"/>
        </w:rPr>
        <w:t>phosphoryleres</w:t>
      </w:r>
      <w:proofErr w:type="spellEnd"/>
      <w:r w:rsidRPr="00F719E8">
        <w:rPr>
          <w:sz w:val="24"/>
          <w:szCs w:val="24"/>
        </w:rPr>
        <w:t xml:space="preserve">. Direkte farmakologiske virkninger af </w:t>
      </w:r>
      <w:proofErr w:type="spellStart"/>
      <w:r w:rsidRPr="00F719E8">
        <w:rPr>
          <w:sz w:val="24"/>
          <w:szCs w:val="24"/>
        </w:rPr>
        <w:t>butafosfan</w:t>
      </w:r>
      <w:proofErr w:type="spellEnd"/>
      <w:r w:rsidRPr="00F719E8">
        <w:rPr>
          <w:sz w:val="24"/>
          <w:szCs w:val="24"/>
        </w:rPr>
        <w:t xml:space="preserve"> ud oversimpel </w:t>
      </w:r>
      <w:proofErr w:type="spellStart"/>
      <w:r w:rsidRPr="00F719E8">
        <w:rPr>
          <w:sz w:val="24"/>
          <w:szCs w:val="24"/>
        </w:rPr>
        <w:t>phosphorsubstitution</w:t>
      </w:r>
      <w:proofErr w:type="spellEnd"/>
      <w:r w:rsidRPr="00F719E8">
        <w:rPr>
          <w:sz w:val="24"/>
          <w:szCs w:val="24"/>
        </w:rPr>
        <w:t xml:space="preserve"> er desuden blevet hævdet.</w:t>
      </w:r>
    </w:p>
    <w:p w14:paraId="16833F31" w14:textId="14623388" w:rsidR="00F719E8" w:rsidRPr="00F719E8" w:rsidRDefault="00F719E8" w:rsidP="00FD74B5">
      <w:pPr>
        <w:tabs>
          <w:tab w:val="left" w:pos="851"/>
        </w:tabs>
        <w:ind w:left="851"/>
        <w:rPr>
          <w:bCs/>
          <w:sz w:val="24"/>
          <w:szCs w:val="24"/>
        </w:rPr>
      </w:pPr>
      <w:proofErr w:type="spellStart"/>
      <w:r w:rsidRPr="00F719E8">
        <w:rPr>
          <w:sz w:val="24"/>
          <w:szCs w:val="24"/>
        </w:rPr>
        <w:t>Cyanocobalamin</w:t>
      </w:r>
      <w:proofErr w:type="spellEnd"/>
      <w:r w:rsidRPr="00F719E8">
        <w:rPr>
          <w:sz w:val="24"/>
          <w:szCs w:val="24"/>
        </w:rPr>
        <w:t xml:space="preserve"> er et </w:t>
      </w:r>
      <w:proofErr w:type="spellStart"/>
      <w:r w:rsidRPr="00F719E8">
        <w:rPr>
          <w:sz w:val="24"/>
          <w:szCs w:val="24"/>
        </w:rPr>
        <w:t>co</w:t>
      </w:r>
      <w:proofErr w:type="spellEnd"/>
      <w:r w:rsidRPr="00F719E8">
        <w:rPr>
          <w:sz w:val="24"/>
          <w:szCs w:val="24"/>
        </w:rPr>
        <w:t xml:space="preserve">-enzym i biosyntesen af </w:t>
      </w:r>
      <w:proofErr w:type="spellStart"/>
      <w:r w:rsidRPr="00F719E8">
        <w:rPr>
          <w:sz w:val="24"/>
          <w:szCs w:val="24"/>
        </w:rPr>
        <w:t>glucose</w:t>
      </w:r>
      <w:proofErr w:type="spellEnd"/>
      <w:r w:rsidRPr="00F719E8">
        <w:rPr>
          <w:sz w:val="24"/>
          <w:szCs w:val="24"/>
        </w:rPr>
        <w:t xml:space="preserve"> fra </w:t>
      </w:r>
      <w:proofErr w:type="spellStart"/>
      <w:r w:rsidRPr="00F719E8">
        <w:rPr>
          <w:sz w:val="24"/>
          <w:szCs w:val="24"/>
        </w:rPr>
        <w:t>propionat</w:t>
      </w:r>
      <w:proofErr w:type="spellEnd"/>
      <w:r w:rsidRPr="00F719E8">
        <w:rPr>
          <w:sz w:val="24"/>
          <w:szCs w:val="24"/>
        </w:rPr>
        <w:t xml:space="preserve">. Desuden fungerer det det som en </w:t>
      </w:r>
      <w:proofErr w:type="spellStart"/>
      <w:r w:rsidRPr="00F719E8">
        <w:rPr>
          <w:sz w:val="24"/>
          <w:szCs w:val="24"/>
        </w:rPr>
        <w:t>co</w:t>
      </w:r>
      <w:proofErr w:type="spellEnd"/>
      <w:r w:rsidRPr="00F719E8">
        <w:rPr>
          <w:sz w:val="24"/>
          <w:szCs w:val="24"/>
        </w:rPr>
        <w:t xml:space="preserve">-faktor for enzymer, der er vigtigt for fedtsyresyntesen og vigtigt for opretholdelse af normal </w:t>
      </w:r>
      <w:proofErr w:type="spellStart"/>
      <w:r w:rsidRPr="00F719E8">
        <w:rPr>
          <w:sz w:val="24"/>
          <w:szCs w:val="24"/>
        </w:rPr>
        <w:t>hæmopoiesis</w:t>
      </w:r>
      <w:proofErr w:type="spellEnd"/>
      <w:r w:rsidRPr="00F719E8">
        <w:rPr>
          <w:sz w:val="24"/>
          <w:szCs w:val="24"/>
        </w:rPr>
        <w:t xml:space="preserve">, beskyttelse af leveren og opretholdelse af muskelvæv, sund hud, hjerne og </w:t>
      </w:r>
      <w:proofErr w:type="spellStart"/>
      <w:r w:rsidRPr="00F719E8">
        <w:rPr>
          <w:sz w:val="24"/>
          <w:szCs w:val="24"/>
        </w:rPr>
        <w:t>pankreasstofskiftet</w:t>
      </w:r>
      <w:proofErr w:type="spellEnd"/>
      <w:r w:rsidRPr="00F719E8">
        <w:rPr>
          <w:sz w:val="24"/>
          <w:szCs w:val="24"/>
        </w:rPr>
        <w:t>. Det tilhører klassen af vandopløselige B-vitaminer, der syntetiseres af den mikrobiotiske flora i dyrenes fordøjelsessystem</w:t>
      </w:r>
      <w:r w:rsidR="005426C1">
        <w:rPr>
          <w:sz w:val="24"/>
          <w:szCs w:val="24"/>
        </w:rPr>
        <w:t xml:space="preserve"> </w:t>
      </w:r>
      <w:r w:rsidRPr="00F719E8">
        <w:rPr>
          <w:sz w:val="24"/>
          <w:szCs w:val="24"/>
        </w:rPr>
        <w:t xml:space="preserve">(netmaven og tyktarmen). Som følge af mikrobernes egne behov syntetiseres der normalt ikke tilstrækkelige mængder til også at dække behovet for hele dyrets organisme. Markante mangler forekommer sjældent selv ikke i tilfælde af utilstrækkelig tilførsel af </w:t>
      </w:r>
      <w:proofErr w:type="spellStart"/>
      <w:r w:rsidRPr="00F719E8">
        <w:rPr>
          <w:sz w:val="24"/>
          <w:szCs w:val="24"/>
        </w:rPr>
        <w:t>cyanocobalamin</w:t>
      </w:r>
      <w:proofErr w:type="spellEnd"/>
      <w:r w:rsidRPr="00F719E8">
        <w:rPr>
          <w:sz w:val="24"/>
          <w:szCs w:val="24"/>
        </w:rPr>
        <w:t>.</w:t>
      </w:r>
    </w:p>
    <w:p w14:paraId="441BFB2A" w14:textId="77777777" w:rsidR="00F719E8" w:rsidRPr="00F719E8" w:rsidRDefault="00F719E8" w:rsidP="00FD74B5">
      <w:pPr>
        <w:tabs>
          <w:tab w:val="left" w:pos="851"/>
        </w:tabs>
        <w:ind w:left="851"/>
        <w:rPr>
          <w:bCs/>
          <w:sz w:val="24"/>
          <w:szCs w:val="24"/>
        </w:rPr>
      </w:pPr>
    </w:p>
    <w:p w14:paraId="007F553A" w14:textId="77777777" w:rsidR="00F719E8" w:rsidRPr="00F719E8" w:rsidRDefault="00F719E8" w:rsidP="00FD74B5">
      <w:pPr>
        <w:tabs>
          <w:tab w:val="left" w:pos="851"/>
        </w:tabs>
        <w:ind w:left="851"/>
        <w:rPr>
          <w:bCs/>
          <w:sz w:val="24"/>
          <w:szCs w:val="24"/>
        </w:rPr>
      </w:pPr>
      <w:r w:rsidRPr="00F719E8">
        <w:rPr>
          <w:sz w:val="24"/>
          <w:szCs w:val="24"/>
        </w:rPr>
        <w:t xml:space="preserve">Den nøjagtige virkningsmekanisme for kombinationer af </w:t>
      </w:r>
      <w:proofErr w:type="spellStart"/>
      <w:r w:rsidRPr="00F719E8">
        <w:rPr>
          <w:sz w:val="24"/>
          <w:szCs w:val="24"/>
        </w:rPr>
        <w:t>cyanocobalamin</w:t>
      </w:r>
      <w:proofErr w:type="spellEnd"/>
      <w:r w:rsidRPr="00F719E8">
        <w:rPr>
          <w:sz w:val="24"/>
          <w:szCs w:val="24"/>
        </w:rPr>
        <w:t xml:space="preserve"> og </w:t>
      </w:r>
      <w:proofErr w:type="spellStart"/>
      <w:r w:rsidRPr="00F719E8">
        <w:rPr>
          <w:sz w:val="24"/>
          <w:szCs w:val="24"/>
        </w:rPr>
        <w:t>butafosfan</w:t>
      </w:r>
      <w:proofErr w:type="spellEnd"/>
      <w:r w:rsidRPr="00F719E8">
        <w:rPr>
          <w:sz w:val="24"/>
          <w:szCs w:val="24"/>
        </w:rPr>
        <w:t xml:space="preserve"> er ikke helt klarlagt. Der er med kombinationen af </w:t>
      </w:r>
      <w:proofErr w:type="spellStart"/>
      <w:r w:rsidRPr="00F719E8">
        <w:rPr>
          <w:sz w:val="24"/>
          <w:szCs w:val="24"/>
        </w:rPr>
        <w:t>cyanocobalamin</w:t>
      </w:r>
      <w:proofErr w:type="spellEnd"/>
      <w:r w:rsidRPr="00F719E8">
        <w:rPr>
          <w:sz w:val="24"/>
          <w:szCs w:val="24"/>
        </w:rPr>
        <w:t xml:space="preserve"> og </w:t>
      </w:r>
      <w:proofErr w:type="spellStart"/>
      <w:r w:rsidRPr="00F719E8">
        <w:rPr>
          <w:sz w:val="24"/>
          <w:szCs w:val="24"/>
        </w:rPr>
        <w:t>butafosfan</w:t>
      </w:r>
      <w:proofErr w:type="spellEnd"/>
      <w:r w:rsidRPr="00F719E8">
        <w:rPr>
          <w:sz w:val="24"/>
          <w:szCs w:val="24"/>
        </w:rPr>
        <w:t xml:space="preserve"> observeret forskellige virkninger på </w:t>
      </w:r>
      <w:proofErr w:type="spellStart"/>
      <w:r w:rsidRPr="00F719E8">
        <w:rPr>
          <w:sz w:val="24"/>
          <w:szCs w:val="24"/>
        </w:rPr>
        <w:t>bovine</w:t>
      </w:r>
      <w:proofErr w:type="spellEnd"/>
      <w:r w:rsidRPr="00F719E8">
        <w:rPr>
          <w:sz w:val="24"/>
          <w:szCs w:val="24"/>
        </w:rPr>
        <w:t xml:space="preserve"> fedtmetabolisme i kliniske studier, herunder reducerede serumniveauer af </w:t>
      </w:r>
      <w:proofErr w:type="spellStart"/>
      <w:r w:rsidRPr="00F719E8">
        <w:rPr>
          <w:sz w:val="24"/>
          <w:szCs w:val="24"/>
        </w:rPr>
        <w:t>ketoserelaterede</w:t>
      </w:r>
      <w:proofErr w:type="spellEnd"/>
      <w:r w:rsidRPr="00F719E8">
        <w:rPr>
          <w:sz w:val="24"/>
          <w:szCs w:val="24"/>
        </w:rPr>
        <w:t xml:space="preserve"> </w:t>
      </w:r>
      <w:proofErr w:type="spellStart"/>
      <w:r w:rsidRPr="00F719E8">
        <w:rPr>
          <w:sz w:val="24"/>
          <w:szCs w:val="24"/>
        </w:rPr>
        <w:t>nonesterificerede</w:t>
      </w:r>
      <w:proofErr w:type="spellEnd"/>
      <w:r w:rsidRPr="00F719E8">
        <w:rPr>
          <w:sz w:val="24"/>
          <w:szCs w:val="24"/>
        </w:rPr>
        <w:t xml:space="preserve"> fedtsyrer og β-</w:t>
      </w:r>
      <w:proofErr w:type="spellStart"/>
      <w:r w:rsidRPr="00F719E8">
        <w:rPr>
          <w:sz w:val="24"/>
          <w:szCs w:val="24"/>
        </w:rPr>
        <w:t>hydroxysmørsyre</w:t>
      </w:r>
      <w:proofErr w:type="spellEnd"/>
      <w:r w:rsidRPr="00F719E8">
        <w:rPr>
          <w:sz w:val="24"/>
          <w:szCs w:val="24"/>
        </w:rPr>
        <w:t>.</w:t>
      </w:r>
    </w:p>
    <w:p w14:paraId="5F94BD2B" w14:textId="0B9DC634" w:rsidR="00654122" w:rsidRDefault="00654122" w:rsidP="00FD74B5">
      <w:pPr>
        <w:rPr>
          <w:sz w:val="24"/>
          <w:szCs w:val="24"/>
        </w:rPr>
      </w:pPr>
      <w:r>
        <w:rPr>
          <w:sz w:val="24"/>
          <w:szCs w:val="24"/>
        </w:rPr>
        <w:br w:type="page"/>
      </w:r>
    </w:p>
    <w:p w14:paraId="3EC96639" w14:textId="77777777" w:rsidR="005B0036" w:rsidRPr="00406EE7" w:rsidRDefault="005B0036" w:rsidP="00FD74B5">
      <w:pPr>
        <w:tabs>
          <w:tab w:val="left" w:pos="851"/>
        </w:tabs>
        <w:ind w:left="851"/>
        <w:rPr>
          <w:sz w:val="24"/>
          <w:szCs w:val="24"/>
        </w:rPr>
      </w:pPr>
    </w:p>
    <w:p w14:paraId="6829F2CF" w14:textId="77777777" w:rsidR="005B0036" w:rsidRPr="00406EE7" w:rsidRDefault="005B0036" w:rsidP="00FD74B5">
      <w:pPr>
        <w:tabs>
          <w:tab w:val="left" w:pos="851"/>
        </w:tabs>
        <w:rPr>
          <w:b/>
          <w:sz w:val="24"/>
          <w:szCs w:val="24"/>
        </w:rPr>
      </w:pPr>
      <w:r w:rsidRPr="00654122">
        <w:rPr>
          <w:b/>
          <w:sz w:val="24"/>
          <w:szCs w:val="24"/>
        </w:rPr>
        <w:t>5.2</w:t>
      </w:r>
      <w:r w:rsidRPr="00654122">
        <w:rPr>
          <w:b/>
          <w:sz w:val="24"/>
          <w:szCs w:val="24"/>
        </w:rPr>
        <w:tab/>
      </w:r>
      <w:proofErr w:type="spellStart"/>
      <w:r w:rsidRPr="00654122">
        <w:rPr>
          <w:b/>
          <w:sz w:val="24"/>
          <w:szCs w:val="24"/>
        </w:rPr>
        <w:t>Farmakokinetiske</w:t>
      </w:r>
      <w:proofErr w:type="spellEnd"/>
      <w:r w:rsidRPr="00654122">
        <w:rPr>
          <w:b/>
          <w:sz w:val="24"/>
          <w:szCs w:val="24"/>
        </w:rPr>
        <w:t xml:space="preserve"> egenskaber</w:t>
      </w:r>
    </w:p>
    <w:p w14:paraId="06B0668F" w14:textId="02BE5CB2" w:rsidR="00654122" w:rsidRPr="00654122" w:rsidRDefault="00654122" w:rsidP="00FD74B5">
      <w:pPr>
        <w:tabs>
          <w:tab w:val="left" w:pos="851"/>
        </w:tabs>
        <w:ind w:left="851"/>
        <w:rPr>
          <w:bCs/>
          <w:sz w:val="24"/>
          <w:szCs w:val="24"/>
        </w:rPr>
      </w:pPr>
      <w:r w:rsidRPr="00654122">
        <w:rPr>
          <w:sz w:val="24"/>
          <w:szCs w:val="24"/>
        </w:rPr>
        <w:t xml:space="preserve">Efter intravenøs administration til kvæg fordeles </w:t>
      </w:r>
      <w:proofErr w:type="spellStart"/>
      <w:r w:rsidRPr="00654122">
        <w:rPr>
          <w:sz w:val="24"/>
          <w:szCs w:val="24"/>
        </w:rPr>
        <w:t>butafosfan</w:t>
      </w:r>
      <w:proofErr w:type="spellEnd"/>
      <w:r w:rsidRPr="00654122">
        <w:rPr>
          <w:sz w:val="24"/>
          <w:szCs w:val="24"/>
        </w:rPr>
        <w:t xml:space="preserve"> i det </w:t>
      </w:r>
      <w:proofErr w:type="spellStart"/>
      <w:r w:rsidRPr="00654122">
        <w:rPr>
          <w:sz w:val="24"/>
          <w:szCs w:val="24"/>
        </w:rPr>
        <w:t>ekstravaskulære</w:t>
      </w:r>
      <w:proofErr w:type="spellEnd"/>
      <w:r w:rsidRPr="00654122">
        <w:rPr>
          <w:sz w:val="24"/>
          <w:szCs w:val="24"/>
        </w:rPr>
        <w:t xml:space="preserve"> rum inden for få minutter og udskilles hurtigt uændret fra kroppen. Halveringstiden for udskillelse er 83 til 116 minutter. Inden for tolv timer efter intravenøs administration kan gennemsnitligt genfindes 74-77</w:t>
      </w:r>
      <w:r w:rsidR="00020E5E">
        <w:rPr>
          <w:sz w:val="24"/>
          <w:szCs w:val="24"/>
        </w:rPr>
        <w:t xml:space="preserve"> %</w:t>
      </w:r>
      <w:r w:rsidRPr="00654122">
        <w:rPr>
          <w:sz w:val="24"/>
          <w:szCs w:val="24"/>
        </w:rPr>
        <w:t xml:space="preserve"> af det oprindelige stof i urinen. </w:t>
      </w:r>
    </w:p>
    <w:p w14:paraId="385B3E30" w14:textId="77777777" w:rsidR="00654122" w:rsidRPr="00654122" w:rsidRDefault="00654122" w:rsidP="00FD74B5">
      <w:pPr>
        <w:tabs>
          <w:tab w:val="left" w:pos="851"/>
        </w:tabs>
        <w:ind w:left="851"/>
        <w:rPr>
          <w:bCs/>
          <w:sz w:val="24"/>
          <w:szCs w:val="24"/>
        </w:rPr>
      </w:pPr>
      <w:r w:rsidRPr="00654122">
        <w:rPr>
          <w:sz w:val="24"/>
          <w:szCs w:val="24"/>
        </w:rPr>
        <w:t xml:space="preserve">Kun spor af </w:t>
      </w:r>
      <w:proofErr w:type="spellStart"/>
      <w:r w:rsidRPr="00654122">
        <w:rPr>
          <w:sz w:val="24"/>
          <w:szCs w:val="24"/>
        </w:rPr>
        <w:t>butafosfan</w:t>
      </w:r>
      <w:proofErr w:type="spellEnd"/>
      <w:r w:rsidRPr="00654122">
        <w:rPr>
          <w:sz w:val="24"/>
          <w:szCs w:val="24"/>
        </w:rPr>
        <w:t xml:space="preserve"> findes i mælken. Metabolisk nedbrydning i leveren blev ikke påvist. </w:t>
      </w:r>
      <w:proofErr w:type="spellStart"/>
      <w:r w:rsidRPr="00654122">
        <w:rPr>
          <w:sz w:val="24"/>
          <w:szCs w:val="24"/>
        </w:rPr>
        <w:t>Butafosfan</w:t>
      </w:r>
      <w:proofErr w:type="spellEnd"/>
      <w:r w:rsidRPr="00654122">
        <w:rPr>
          <w:sz w:val="24"/>
          <w:szCs w:val="24"/>
        </w:rPr>
        <w:t xml:space="preserve"> bliver hurtigt absorberet og elimineret efter parenteral administration hos alle dyrearter, som </w:t>
      </w:r>
      <w:proofErr w:type="spellStart"/>
      <w:r w:rsidRPr="00654122">
        <w:rPr>
          <w:sz w:val="24"/>
          <w:szCs w:val="24"/>
        </w:rPr>
        <w:t>butafosfan</w:t>
      </w:r>
      <w:proofErr w:type="spellEnd"/>
      <w:r w:rsidRPr="00654122">
        <w:rPr>
          <w:sz w:val="24"/>
          <w:szCs w:val="24"/>
        </w:rPr>
        <w:t xml:space="preserve"> er beregnet til.</w:t>
      </w:r>
    </w:p>
    <w:p w14:paraId="1F6D80CB" w14:textId="77777777" w:rsidR="00654122" w:rsidRPr="00654122" w:rsidRDefault="00654122" w:rsidP="00FD74B5">
      <w:pPr>
        <w:tabs>
          <w:tab w:val="left" w:pos="851"/>
        </w:tabs>
        <w:ind w:left="851"/>
        <w:rPr>
          <w:bCs/>
          <w:sz w:val="24"/>
          <w:szCs w:val="24"/>
        </w:rPr>
      </w:pPr>
    </w:p>
    <w:p w14:paraId="46F2BEEB" w14:textId="5BF6CAF1" w:rsidR="00654122" w:rsidRPr="00654122" w:rsidRDefault="00654122" w:rsidP="00FD74B5">
      <w:pPr>
        <w:tabs>
          <w:tab w:val="left" w:pos="851"/>
        </w:tabs>
        <w:ind w:left="851"/>
        <w:rPr>
          <w:i/>
          <w:sz w:val="24"/>
          <w:szCs w:val="24"/>
        </w:rPr>
      </w:pPr>
      <w:proofErr w:type="spellStart"/>
      <w:r w:rsidRPr="00654122">
        <w:rPr>
          <w:sz w:val="24"/>
          <w:szCs w:val="24"/>
        </w:rPr>
        <w:t>Cyanocobalamins</w:t>
      </w:r>
      <w:proofErr w:type="spellEnd"/>
      <w:r w:rsidRPr="00654122">
        <w:rPr>
          <w:sz w:val="24"/>
          <w:szCs w:val="24"/>
        </w:rPr>
        <w:t xml:space="preserve"> </w:t>
      </w:r>
      <w:r w:rsidR="005426C1">
        <w:rPr>
          <w:sz w:val="24"/>
          <w:szCs w:val="24"/>
        </w:rPr>
        <w:t>metabolisme</w:t>
      </w:r>
      <w:r w:rsidRPr="00654122">
        <w:rPr>
          <w:sz w:val="24"/>
          <w:szCs w:val="24"/>
        </w:rPr>
        <w:t xml:space="preserve"> er kompleks og er tæt forbundet med </w:t>
      </w:r>
      <w:proofErr w:type="spellStart"/>
      <w:r w:rsidRPr="00654122">
        <w:rPr>
          <w:sz w:val="24"/>
          <w:szCs w:val="24"/>
        </w:rPr>
        <w:t>folinsyres</w:t>
      </w:r>
      <w:proofErr w:type="spellEnd"/>
      <w:r w:rsidRPr="00654122">
        <w:rPr>
          <w:sz w:val="24"/>
          <w:szCs w:val="24"/>
        </w:rPr>
        <w:t xml:space="preserve"> og </w:t>
      </w:r>
      <w:proofErr w:type="spellStart"/>
      <w:r w:rsidRPr="00654122">
        <w:rPr>
          <w:sz w:val="24"/>
          <w:szCs w:val="24"/>
        </w:rPr>
        <w:t>ascorbinsyres</w:t>
      </w:r>
      <w:proofErr w:type="spellEnd"/>
      <w:r w:rsidRPr="00654122">
        <w:rPr>
          <w:sz w:val="24"/>
          <w:szCs w:val="24"/>
        </w:rPr>
        <w:t xml:space="preserve"> </w:t>
      </w:r>
      <w:r w:rsidR="005426C1">
        <w:rPr>
          <w:sz w:val="24"/>
          <w:szCs w:val="24"/>
        </w:rPr>
        <w:t>metabolisme</w:t>
      </w:r>
      <w:r w:rsidRPr="00654122">
        <w:rPr>
          <w:sz w:val="24"/>
          <w:szCs w:val="24"/>
        </w:rPr>
        <w:t>. B</w:t>
      </w:r>
      <w:r w:rsidRPr="00654122">
        <w:rPr>
          <w:sz w:val="24"/>
          <w:szCs w:val="24"/>
          <w:vertAlign w:val="subscript"/>
        </w:rPr>
        <w:t>12</w:t>
      </w:r>
      <w:r w:rsidRPr="00654122">
        <w:rPr>
          <w:sz w:val="24"/>
          <w:szCs w:val="24"/>
        </w:rPr>
        <w:t>-vitamin lagres i signifikante mængder i leveren, yderligere oplagringssteder omfatter nyre, hjerte, milt og hjerne. Halveringstiden i væv for B</w:t>
      </w:r>
      <w:r w:rsidRPr="00654122">
        <w:rPr>
          <w:sz w:val="24"/>
          <w:szCs w:val="24"/>
          <w:vertAlign w:val="subscript"/>
        </w:rPr>
        <w:t>12</w:t>
      </w:r>
      <w:r w:rsidRPr="00654122">
        <w:rPr>
          <w:sz w:val="24"/>
          <w:szCs w:val="24"/>
        </w:rPr>
        <w:t>-vitamin er 32 dage. Hos drøvtyggere udskilles B</w:t>
      </w:r>
      <w:r w:rsidRPr="00654122">
        <w:rPr>
          <w:sz w:val="24"/>
          <w:szCs w:val="24"/>
          <w:vertAlign w:val="subscript"/>
        </w:rPr>
        <w:t>12</w:t>
      </w:r>
      <w:r w:rsidRPr="00654122">
        <w:rPr>
          <w:sz w:val="24"/>
          <w:szCs w:val="24"/>
        </w:rPr>
        <w:t>-vitamin primært i fæces og i mindre mængder i urinen.</w:t>
      </w:r>
    </w:p>
    <w:p w14:paraId="503D81ED" w14:textId="77777777" w:rsidR="005B0036" w:rsidRPr="00406EE7" w:rsidRDefault="005B0036" w:rsidP="00FD74B5">
      <w:pPr>
        <w:tabs>
          <w:tab w:val="left" w:pos="851"/>
        </w:tabs>
        <w:ind w:left="851"/>
        <w:rPr>
          <w:sz w:val="24"/>
          <w:szCs w:val="24"/>
        </w:rPr>
      </w:pPr>
    </w:p>
    <w:p w14:paraId="6411445E" w14:textId="77777777" w:rsidR="005B0036" w:rsidRPr="00406EE7" w:rsidRDefault="005B0036" w:rsidP="00FD74B5">
      <w:pPr>
        <w:tabs>
          <w:tab w:val="left" w:pos="851"/>
        </w:tabs>
        <w:ind w:left="851"/>
        <w:rPr>
          <w:sz w:val="24"/>
          <w:szCs w:val="24"/>
        </w:rPr>
      </w:pPr>
    </w:p>
    <w:p w14:paraId="0578C8C8" w14:textId="77777777" w:rsidR="005B0036" w:rsidRPr="00406EE7" w:rsidRDefault="005B0036" w:rsidP="00FD74B5">
      <w:pPr>
        <w:ind w:left="851" w:hanging="851"/>
        <w:rPr>
          <w:b/>
          <w:sz w:val="24"/>
          <w:szCs w:val="24"/>
        </w:rPr>
      </w:pPr>
      <w:r w:rsidRPr="00406EE7">
        <w:rPr>
          <w:b/>
          <w:sz w:val="24"/>
          <w:szCs w:val="24"/>
        </w:rPr>
        <w:t>6.</w:t>
      </w:r>
      <w:r w:rsidRPr="00406EE7">
        <w:rPr>
          <w:b/>
          <w:sz w:val="24"/>
          <w:szCs w:val="24"/>
        </w:rPr>
        <w:tab/>
        <w:t>FARMACEUTISKE OPLYSNINGER</w:t>
      </w:r>
    </w:p>
    <w:p w14:paraId="05BB5E8D" w14:textId="77777777" w:rsidR="005B0036" w:rsidRPr="00406EE7" w:rsidRDefault="005B0036" w:rsidP="00FD74B5">
      <w:pPr>
        <w:tabs>
          <w:tab w:val="left" w:pos="851"/>
        </w:tabs>
        <w:ind w:left="851"/>
        <w:rPr>
          <w:sz w:val="24"/>
          <w:szCs w:val="24"/>
        </w:rPr>
      </w:pPr>
    </w:p>
    <w:p w14:paraId="0026FC0D" w14:textId="77777777" w:rsidR="005B0036" w:rsidRPr="00406EE7" w:rsidRDefault="005B0036" w:rsidP="00FD74B5">
      <w:pPr>
        <w:ind w:left="851" w:hanging="851"/>
        <w:rPr>
          <w:b/>
          <w:sz w:val="24"/>
          <w:szCs w:val="24"/>
        </w:rPr>
      </w:pPr>
      <w:r w:rsidRPr="00406EE7">
        <w:rPr>
          <w:b/>
          <w:sz w:val="24"/>
          <w:szCs w:val="24"/>
        </w:rPr>
        <w:t>6.1</w:t>
      </w:r>
      <w:r w:rsidRPr="00406EE7">
        <w:rPr>
          <w:b/>
          <w:sz w:val="24"/>
          <w:szCs w:val="24"/>
        </w:rPr>
        <w:tab/>
        <w:t>Hjælpestoffer</w:t>
      </w:r>
    </w:p>
    <w:p w14:paraId="1D11F9D8" w14:textId="77777777" w:rsidR="00654122" w:rsidRPr="00654122" w:rsidRDefault="00654122" w:rsidP="00FD74B5">
      <w:pPr>
        <w:ind w:left="851"/>
        <w:rPr>
          <w:iCs/>
          <w:sz w:val="24"/>
          <w:szCs w:val="24"/>
        </w:rPr>
      </w:pPr>
      <w:proofErr w:type="spellStart"/>
      <w:r w:rsidRPr="00654122">
        <w:rPr>
          <w:sz w:val="24"/>
          <w:szCs w:val="24"/>
        </w:rPr>
        <w:t>Benzylalkohol</w:t>
      </w:r>
      <w:proofErr w:type="spellEnd"/>
      <w:r w:rsidRPr="00654122">
        <w:rPr>
          <w:sz w:val="24"/>
          <w:szCs w:val="24"/>
        </w:rPr>
        <w:t xml:space="preserve"> (E1519)</w:t>
      </w:r>
    </w:p>
    <w:p w14:paraId="55AA8E10" w14:textId="77777777" w:rsidR="00654122" w:rsidRPr="00654122" w:rsidRDefault="00654122" w:rsidP="00FD74B5">
      <w:pPr>
        <w:ind w:left="851"/>
        <w:rPr>
          <w:iCs/>
          <w:sz w:val="24"/>
          <w:szCs w:val="24"/>
        </w:rPr>
      </w:pPr>
      <w:r w:rsidRPr="00654122">
        <w:rPr>
          <w:sz w:val="24"/>
          <w:szCs w:val="24"/>
        </w:rPr>
        <w:t>Natriumhydroxid (til pH-justering)</w:t>
      </w:r>
    </w:p>
    <w:p w14:paraId="0B18E2CE" w14:textId="77777777" w:rsidR="00654122" w:rsidRPr="00654122" w:rsidRDefault="00654122" w:rsidP="00FD74B5">
      <w:pPr>
        <w:ind w:left="851"/>
        <w:rPr>
          <w:iCs/>
          <w:sz w:val="24"/>
          <w:szCs w:val="24"/>
        </w:rPr>
      </w:pPr>
      <w:r w:rsidRPr="00654122">
        <w:rPr>
          <w:sz w:val="24"/>
          <w:szCs w:val="24"/>
        </w:rPr>
        <w:t>Fortyndet saltsyre (til pH-justering)</w:t>
      </w:r>
    </w:p>
    <w:p w14:paraId="54C1B2AE" w14:textId="77777777" w:rsidR="00654122" w:rsidRPr="00654122" w:rsidRDefault="00654122" w:rsidP="00FD74B5">
      <w:pPr>
        <w:ind w:left="851"/>
        <w:rPr>
          <w:iCs/>
          <w:sz w:val="24"/>
          <w:szCs w:val="24"/>
        </w:rPr>
      </w:pPr>
      <w:r w:rsidRPr="00654122">
        <w:rPr>
          <w:sz w:val="24"/>
          <w:szCs w:val="24"/>
        </w:rPr>
        <w:t>Vand til injektion</w:t>
      </w:r>
      <w:r>
        <w:rPr>
          <w:sz w:val="24"/>
          <w:szCs w:val="24"/>
        </w:rPr>
        <w:t>svæsker</w:t>
      </w:r>
    </w:p>
    <w:p w14:paraId="0705FC74" w14:textId="77777777" w:rsidR="005B0036" w:rsidRPr="00406EE7" w:rsidRDefault="005B0036" w:rsidP="00FD74B5">
      <w:pPr>
        <w:tabs>
          <w:tab w:val="left" w:pos="851"/>
        </w:tabs>
        <w:ind w:left="851"/>
        <w:rPr>
          <w:sz w:val="24"/>
          <w:szCs w:val="24"/>
        </w:rPr>
      </w:pPr>
    </w:p>
    <w:p w14:paraId="0BB2AB36" w14:textId="77777777" w:rsidR="005B0036" w:rsidRPr="00406EE7" w:rsidRDefault="005B0036" w:rsidP="00FD74B5">
      <w:pPr>
        <w:ind w:left="851" w:hanging="851"/>
        <w:rPr>
          <w:b/>
          <w:sz w:val="24"/>
          <w:szCs w:val="24"/>
        </w:rPr>
      </w:pPr>
      <w:r w:rsidRPr="00406EE7">
        <w:rPr>
          <w:b/>
          <w:sz w:val="24"/>
          <w:szCs w:val="24"/>
        </w:rPr>
        <w:t>6.2</w:t>
      </w:r>
      <w:r w:rsidRPr="00406EE7">
        <w:rPr>
          <w:b/>
          <w:sz w:val="24"/>
          <w:szCs w:val="24"/>
        </w:rPr>
        <w:tab/>
        <w:t>Uforligeligheder</w:t>
      </w:r>
    </w:p>
    <w:p w14:paraId="0E827277" w14:textId="77777777" w:rsidR="00654122" w:rsidRPr="00654122" w:rsidRDefault="00654122" w:rsidP="00FD74B5">
      <w:pPr>
        <w:tabs>
          <w:tab w:val="left" w:pos="851"/>
        </w:tabs>
        <w:ind w:left="851"/>
        <w:rPr>
          <w:iCs/>
          <w:sz w:val="24"/>
          <w:szCs w:val="24"/>
        </w:rPr>
      </w:pPr>
      <w:r w:rsidRPr="00654122">
        <w:rPr>
          <w:sz w:val="24"/>
          <w:szCs w:val="24"/>
        </w:rPr>
        <w:t>Da der ikke foreligger undersøgelser vedrørende eventuelle uforligeligheder, bør dette lægemiddel ikke blandes med andre lægemidler.</w:t>
      </w:r>
    </w:p>
    <w:p w14:paraId="347E09EF" w14:textId="77777777" w:rsidR="005B0036" w:rsidRPr="00406EE7" w:rsidRDefault="005B0036" w:rsidP="00FD74B5">
      <w:pPr>
        <w:tabs>
          <w:tab w:val="left" w:pos="851"/>
        </w:tabs>
        <w:ind w:left="851"/>
        <w:rPr>
          <w:sz w:val="24"/>
          <w:szCs w:val="24"/>
        </w:rPr>
      </w:pPr>
    </w:p>
    <w:p w14:paraId="624FEDA3" w14:textId="77777777" w:rsidR="005B0036" w:rsidRPr="00406EE7" w:rsidRDefault="005B0036" w:rsidP="00FD74B5">
      <w:pPr>
        <w:ind w:left="851" w:hanging="851"/>
        <w:rPr>
          <w:b/>
          <w:sz w:val="24"/>
          <w:szCs w:val="24"/>
        </w:rPr>
      </w:pPr>
      <w:r w:rsidRPr="00406EE7">
        <w:rPr>
          <w:b/>
          <w:sz w:val="24"/>
          <w:szCs w:val="24"/>
        </w:rPr>
        <w:t>6.3</w:t>
      </w:r>
      <w:r w:rsidRPr="00406EE7">
        <w:rPr>
          <w:b/>
          <w:sz w:val="24"/>
          <w:szCs w:val="24"/>
        </w:rPr>
        <w:tab/>
        <w:t>Opbevaringstid</w:t>
      </w:r>
    </w:p>
    <w:p w14:paraId="3924E42C" w14:textId="6CB0F264" w:rsidR="00137DA4" w:rsidRDefault="00137DA4" w:rsidP="00FD74B5">
      <w:pPr>
        <w:tabs>
          <w:tab w:val="left" w:pos="851"/>
        </w:tabs>
        <w:ind w:left="851"/>
        <w:rPr>
          <w:sz w:val="24"/>
          <w:szCs w:val="24"/>
        </w:rPr>
      </w:pPr>
      <w:r>
        <w:rPr>
          <w:sz w:val="24"/>
          <w:szCs w:val="24"/>
        </w:rPr>
        <w:t>I</w:t>
      </w:r>
      <w:r w:rsidRPr="00137DA4">
        <w:rPr>
          <w:sz w:val="24"/>
          <w:szCs w:val="24"/>
        </w:rPr>
        <w:t xml:space="preserve"> salgspakning: </w:t>
      </w:r>
      <w:r w:rsidR="00DA5F02">
        <w:rPr>
          <w:sz w:val="24"/>
          <w:szCs w:val="24"/>
        </w:rPr>
        <w:t>3</w:t>
      </w:r>
      <w:r w:rsidRPr="00137DA4">
        <w:rPr>
          <w:sz w:val="24"/>
          <w:szCs w:val="24"/>
        </w:rPr>
        <w:t xml:space="preserve"> år.</w:t>
      </w:r>
    </w:p>
    <w:p w14:paraId="3E793031" w14:textId="77777777" w:rsidR="00137DA4" w:rsidRPr="00137DA4" w:rsidRDefault="00137DA4" w:rsidP="00FD74B5">
      <w:pPr>
        <w:tabs>
          <w:tab w:val="left" w:pos="851"/>
        </w:tabs>
        <w:ind w:left="851"/>
        <w:rPr>
          <w:sz w:val="24"/>
          <w:szCs w:val="24"/>
        </w:rPr>
      </w:pPr>
    </w:p>
    <w:p w14:paraId="575243B9" w14:textId="68364222" w:rsidR="00137DA4" w:rsidRPr="00137DA4" w:rsidRDefault="00137DA4" w:rsidP="00FD74B5">
      <w:pPr>
        <w:tabs>
          <w:tab w:val="left" w:pos="851"/>
        </w:tabs>
        <w:ind w:left="851"/>
        <w:rPr>
          <w:sz w:val="24"/>
          <w:szCs w:val="24"/>
        </w:rPr>
      </w:pPr>
      <w:r>
        <w:rPr>
          <w:sz w:val="24"/>
          <w:szCs w:val="24"/>
        </w:rPr>
        <w:t>E</w:t>
      </w:r>
      <w:r w:rsidRPr="00137DA4">
        <w:rPr>
          <w:sz w:val="24"/>
          <w:szCs w:val="24"/>
        </w:rPr>
        <w:t>fter første åbning af den indre emballage: 28 dage.</w:t>
      </w:r>
    </w:p>
    <w:p w14:paraId="0AF1104E" w14:textId="77777777" w:rsidR="005B0036" w:rsidRPr="00406EE7" w:rsidRDefault="005B0036" w:rsidP="00FD74B5">
      <w:pPr>
        <w:tabs>
          <w:tab w:val="left" w:pos="851"/>
        </w:tabs>
        <w:ind w:left="851"/>
        <w:rPr>
          <w:sz w:val="24"/>
          <w:szCs w:val="24"/>
        </w:rPr>
      </w:pPr>
    </w:p>
    <w:p w14:paraId="5D0B4472" w14:textId="77777777" w:rsidR="005B0036" w:rsidRPr="00406EE7" w:rsidRDefault="005B0036" w:rsidP="00FD74B5">
      <w:pPr>
        <w:ind w:left="851" w:hanging="851"/>
        <w:rPr>
          <w:b/>
          <w:sz w:val="24"/>
          <w:szCs w:val="24"/>
        </w:rPr>
      </w:pPr>
      <w:r w:rsidRPr="00406EE7">
        <w:rPr>
          <w:b/>
          <w:sz w:val="24"/>
          <w:szCs w:val="24"/>
        </w:rPr>
        <w:t>6.4</w:t>
      </w:r>
      <w:r w:rsidRPr="00406EE7">
        <w:rPr>
          <w:b/>
          <w:sz w:val="24"/>
          <w:szCs w:val="24"/>
        </w:rPr>
        <w:tab/>
        <w:t>Særlige opbevaringsforhold</w:t>
      </w:r>
    </w:p>
    <w:p w14:paraId="7FCC119C" w14:textId="77777777" w:rsidR="00137DA4" w:rsidRPr="00137DA4" w:rsidRDefault="00137DA4" w:rsidP="00FD74B5">
      <w:pPr>
        <w:tabs>
          <w:tab w:val="left" w:pos="851"/>
        </w:tabs>
        <w:ind w:left="851"/>
        <w:rPr>
          <w:sz w:val="24"/>
          <w:szCs w:val="24"/>
        </w:rPr>
      </w:pPr>
      <w:r w:rsidRPr="00137DA4">
        <w:rPr>
          <w:sz w:val="24"/>
          <w:szCs w:val="24"/>
        </w:rPr>
        <w:t>Opbevar hætteglasset i den ydre karton for at beskytte mod lys.</w:t>
      </w:r>
    </w:p>
    <w:p w14:paraId="02209EEB" w14:textId="77777777" w:rsidR="005B0036" w:rsidRPr="00406EE7" w:rsidRDefault="005B0036" w:rsidP="00FD74B5">
      <w:pPr>
        <w:tabs>
          <w:tab w:val="left" w:pos="851"/>
        </w:tabs>
        <w:ind w:left="851"/>
        <w:rPr>
          <w:sz w:val="24"/>
          <w:szCs w:val="24"/>
        </w:rPr>
      </w:pPr>
    </w:p>
    <w:p w14:paraId="387D4BAD" w14:textId="77777777" w:rsidR="005B0036" w:rsidRPr="00406EE7" w:rsidRDefault="005B0036" w:rsidP="00FD74B5">
      <w:pPr>
        <w:ind w:left="851" w:hanging="851"/>
        <w:rPr>
          <w:b/>
          <w:sz w:val="24"/>
          <w:szCs w:val="24"/>
        </w:rPr>
      </w:pPr>
      <w:r w:rsidRPr="00406EE7">
        <w:rPr>
          <w:b/>
          <w:sz w:val="24"/>
          <w:szCs w:val="24"/>
        </w:rPr>
        <w:t>6.5</w:t>
      </w:r>
      <w:r w:rsidRPr="00406EE7">
        <w:rPr>
          <w:b/>
          <w:sz w:val="24"/>
          <w:szCs w:val="24"/>
        </w:rPr>
        <w:tab/>
        <w:t>Emballage</w:t>
      </w:r>
    </w:p>
    <w:p w14:paraId="7D156653" w14:textId="37F219FD" w:rsidR="00137DA4" w:rsidRPr="00137DA4" w:rsidRDefault="00137DA4" w:rsidP="00FD74B5">
      <w:pPr>
        <w:tabs>
          <w:tab w:val="left" w:pos="851"/>
        </w:tabs>
        <w:ind w:left="851"/>
        <w:rPr>
          <w:iCs/>
          <w:sz w:val="24"/>
          <w:szCs w:val="24"/>
        </w:rPr>
      </w:pPr>
      <w:r w:rsidRPr="00137DA4">
        <w:rPr>
          <w:sz w:val="24"/>
          <w:szCs w:val="24"/>
        </w:rPr>
        <w:t xml:space="preserve">Ravfarvet hætteglas af glas type II med en </w:t>
      </w:r>
      <w:proofErr w:type="spellStart"/>
      <w:r w:rsidRPr="00137DA4">
        <w:rPr>
          <w:sz w:val="24"/>
          <w:szCs w:val="24"/>
        </w:rPr>
        <w:t>brombutyl</w:t>
      </w:r>
      <w:proofErr w:type="spellEnd"/>
      <w:r w:rsidRPr="00137DA4">
        <w:rPr>
          <w:sz w:val="24"/>
          <w:szCs w:val="24"/>
        </w:rPr>
        <w:t>-gummiprop og et aluminiumslåg</w:t>
      </w:r>
      <w:r w:rsidR="0073469F">
        <w:rPr>
          <w:sz w:val="24"/>
          <w:szCs w:val="24"/>
        </w:rPr>
        <w:t>.</w:t>
      </w:r>
    </w:p>
    <w:p w14:paraId="39037CEF" w14:textId="77777777" w:rsidR="00137DA4" w:rsidRPr="00137DA4" w:rsidRDefault="00137DA4" w:rsidP="00FD74B5">
      <w:pPr>
        <w:tabs>
          <w:tab w:val="left" w:pos="851"/>
        </w:tabs>
        <w:ind w:left="851"/>
        <w:rPr>
          <w:iCs/>
          <w:sz w:val="24"/>
          <w:szCs w:val="24"/>
        </w:rPr>
      </w:pPr>
    </w:p>
    <w:p w14:paraId="55DC9D30" w14:textId="63B5E8D3" w:rsidR="00137DA4" w:rsidRPr="00055F3C" w:rsidRDefault="00137DA4" w:rsidP="00FD74B5">
      <w:pPr>
        <w:tabs>
          <w:tab w:val="left" w:pos="851"/>
        </w:tabs>
        <w:ind w:left="851"/>
        <w:rPr>
          <w:iCs/>
          <w:sz w:val="24"/>
          <w:szCs w:val="24"/>
          <w:u w:val="single"/>
        </w:rPr>
      </w:pPr>
      <w:r w:rsidRPr="00055F3C">
        <w:rPr>
          <w:sz w:val="24"/>
          <w:szCs w:val="24"/>
          <w:u w:val="single"/>
        </w:rPr>
        <w:t>Pakningsstørrelser</w:t>
      </w:r>
    </w:p>
    <w:p w14:paraId="0B871567" w14:textId="4257D1C4" w:rsidR="00137DA4" w:rsidRPr="00137DA4" w:rsidRDefault="00137DA4" w:rsidP="00FD74B5">
      <w:pPr>
        <w:tabs>
          <w:tab w:val="left" w:pos="851"/>
        </w:tabs>
        <w:ind w:left="851"/>
        <w:rPr>
          <w:iCs/>
          <w:sz w:val="24"/>
          <w:szCs w:val="24"/>
        </w:rPr>
      </w:pPr>
      <w:r w:rsidRPr="00137DA4">
        <w:rPr>
          <w:sz w:val="24"/>
          <w:szCs w:val="24"/>
        </w:rPr>
        <w:t>Kartonæske med 1 hætteglas med 100 ml</w:t>
      </w:r>
      <w:r w:rsidR="00055F3C">
        <w:rPr>
          <w:sz w:val="24"/>
          <w:szCs w:val="24"/>
        </w:rPr>
        <w:t>.</w:t>
      </w:r>
    </w:p>
    <w:p w14:paraId="584CD786" w14:textId="3E171662" w:rsidR="00137DA4" w:rsidRPr="00137DA4" w:rsidRDefault="00137DA4" w:rsidP="00FD74B5">
      <w:pPr>
        <w:tabs>
          <w:tab w:val="left" w:pos="851"/>
        </w:tabs>
        <w:ind w:left="851"/>
        <w:rPr>
          <w:iCs/>
          <w:sz w:val="24"/>
          <w:szCs w:val="24"/>
        </w:rPr>
      </w:pPr>
      <w:r w:rsidRPr="00137DA4">
        <w:rPr>
          <w:sz w:val="24"/>
          <w:szCs w:val="24"/>
        </w:rPr>
        <w:t>Kartonæske med 1 hætteglas med 250 ml</w:t>
      </w:r>
      <w:r w:rsidR="00055F3C">
        <w:rPr>
          <w:sz w:val="24"/>
          <w:szCs w:val="24"/>
        </w:rPr>
        <w:t>.</w:t>
      </w:r>
    </w:p>
    <w:p w14:paraId="16F517FC" w14:textId="77777777" w:rsidR="00137DA4" w:rsidRPr="00137DA4" w:rsidRDefault="00137DA4" w:rsidP="00FD74B5">
      <w:pPr>
        <w:tabs>
          <w:tab w:val="left" w:pos="851"/>
        </w:tabs>
        <w:ind w:left="851"/>
        <w:rPr>
          <w:iCs/>
          <w:sz w:val="24"/>
          <w:szCs w:val="24"/>
        </w:rPr>
      </w:pPr>
    </w:p>
    <w:p w14:paraId="53A5CC07" w14:textId="77777777" w:rsidR="00137DA4" w:rsidRPr="00137DA4" w:rsidRDefault="00137DA4" w:rsidP="00FD74B5">
      <w:pPr>
        <w:tabs>
          <w:tab w:val="left" w:pos="851"/>
        </w:tabs>
        <w:ind w:left="851"/>
        <w:rPr>
          <w:i/>
          <w:sz w:val="24"/>
          <w:szCs w:val="24"/>
        </w:rPr>
      </w:pPr>
      <w:r w:rsidRPr="00137DA4">
        <w:rPr>
          <w:sz w:val="24"/>
          <w:szCs w:val="24"/>
        </w:rPr>
        <w:t>Ikke alle pakningsstørrelser er nødvendigvis markedsført.</w:t>
      </w:r>
    </w:p>
    <w:p w14:paraId="0AD5C8CE" w14:textId="77777777" w:rsidR="005B0036" w:rsidRPr="00406EE7" w:rsidRDefault="005B0036" w:rsidP="00FD74B5">
      <w:pPr>
        <w:tabs>
          <w:tab w:val="left" w:pos="851"/>
        </w:tabs>
        <w:ind w:left="851"/>
        <w:rPr>
          <w:sz w:val="24"/>
          <w:szCs w:val="24"/>
        </w:rPr>
      </w:pPr>
    </w:p>
    <w:p w14:paraId="46853225" w14:textId="77777777" w:rsidR="005B0036" w:rsidRPr="00406EE7" w:rsidRDefault="005B0036" w:rsidP="00FD74B5">
      <w:pPr>
        <w:tabs>
          <w:tab w:val="left" w:pos="851"/>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14:paraId="52832C67" w14:textId="5DDBD646" w:rsidR="00055F3C" w:rsidRDefault="00055F3C" w:rsidP="00FD74B5">
      <w:pPr>
        <w:tabs>
          <w:tab w:val="left" w:pos="851"/>
        </w:tabs>
        <w:ind w:left="851"/>
        <w:rPr>
          <w:sz w:val="24"/>
          <w:szCs w:val="24"/>
        </w:rPr>
      </w:pPr>
      <w:r w:rsidRPr="00055F3C">
        <w:rPr>
          <w:sz w:val="24"/>
          <w:szCs w:val="24"/>
        </w:rPr>
        <w:t>Ikke anvendte veterinærlægemidler samt affald heraf bør destrueres i henhold til lokale retningslinjer.</w:t>
      </w:r>
    </w:p>
    <w:p w14:paraId="55B833B0" w14:textId="77777777" w:rsidR="0073469F" w:rsidRPr="00055F3C" w:rsidRDefault="0073469F" w:rsidP="00FD74B5">
      <w:pPr>
        <w:tabs>
          <w:tab w:val="left" w:pos="851"/>
        </w:tabs>
        <w:ind w:left="851"/>
        <w:rPr>
          <w:sz w:val="24"/>
          <w:szCs w:val="24"/>
        </w:rPr>
      </w:pPr>
    </w:p>
    <w:p w14:paraId="2E314F9B" w14:textId="77777777" w:rsidR="005B0036" w:rsidRPr="00070728" w:rsidRDefault="005B0036" w:rsidP="00FD74B5">
      <w:pPr>
        <w:tabs>
          <w:tab w:val="left" w:pos="851"/>
        </w:tabs>
        <w:ind w:left="851"/>
        <w:rPr>
          <w:sz w:val="24"/>
          <w:szCs w:val="24"/>
        </w:rPr>
      </w:pPr>
    </w:p>
    <w:p w14:paraId="34C7B910" w14:textId="77777777" w:rsidR="005B0036" w:rsidRPr="00406EE7" w:rsidRDefault="005B0036" w:rsidP="00FD74B5">
      <w:pPr>
        <w:tabs>
          <w:tab w:val="left" w:pos="851"/>
        </w:tabs>
        <w:ind w:left="851" w:hanging="851"/>
        <w:rPr>
          <w:b/>
          <w:sz w:val="24"/>
          <w:szCs w:val="24"/>
        </w:rPr>
      </w:pPr>
      <w:r w:rsidRPr="00406EE7">
        <w:rPr>
          <w:b/>
          <w:sz w:val="24"/>
          <w:szCs w:val="24"/>
        </w:rPr>
        <w:lastRenderedPageBreak/>
        <w:t>7.</w:t>
      </w:r>
      <w:r w:rsidRPr="00406EE7">
        <w:rPr>
          <w:b/>
          <w:sz w:val="24"/>
          <w:szCs w:val="24"/>
        </w:rPr>
        <w:tab/>
        <w:t>INDEHAVER AF MARKEDSFØRINGSTILLADELSEN</w:t>
      </w:r>
    </w:p>
    <w:p w14:paraId="0708B588" w14:textId="77777777" w:rsidR="00055F3C" w:rsidRPr="00055F3C" w:rsidRDefault="00055F3C" w:rsidP="00FD74B5">
      <w:pPr>
        <w:tabs>
          <w:tab w:val="left" w:pos="851"/>
        </w:tabs>
        <w:ind w:left="851"/>
        <w:rPr>
          <w:sz w:val="24"/>
          <w:szCs w:val="24"/>
        </w:rPr>
      </w:pPr>
      <w:proofErr w:type="spellStart"/>
      <w:r w:rsidRPr="00055F3C">
        <w:rPr>
          <w:sz w:val="24"/>
          <w:szCs w:val="24"/>
        </w:rPr>
        <w:t>Veyx</w:t>
      </w:r>
      <w:proofErr w:type="spellEnd"/>
      <w:r w:rsidRPr="00055F3C">
        <w:rPr>
          <w:sz w:val="24"/>
          <w:szCs w:val="24"/>
        </w:rPr>
        <w:t>-Pharma GmbH</w:t>
      </w:r>
    </w:p>
    <w:p w14:paraId="7428DC8C" w14:textId="77777777" w:rsidR="00055F3C" w:rsidRPr="00055F3C" w:rsidRDefault="00055F3C" w:rsidP="00FD74B5">
      <w:pPr>
        <w:tabs>
          <w:tab w:val="left" w:pos="851"/>
        </w:tabs>
        <w:ind w:left="851"/>
        <w:rPr>
          <w:sz w:val="24"/>
          <w:szCs w:val="24"/>
        </w:rPr>
      </w:pPr>
      <w:proofErr w:type="spellStart"/>
      <w:r w:rsidRPr="00055F3C">
        <w:rPr>
          <w:sz w:val="24"/>
          <w:szCs w:val="24"/>
        </w:rPr>
        <w:t>Soehreweg</w:t>
      </w:r>
      <w:proofErr w:type="spellEnd"/>
      <w:r w:rsidRPr="00055F3C">
        <w:rPr>
          <w:sz w:val="24"/>
          <w:szCs w:val="24"/>
        </w:rPr>
        <w:t xml:space="preserve"> 6</w:t>
      </w:r>
    </w:p>
    <w:p w14:paraId="5EA1E543" w14:textId="77777777" w:rsidR="00055F3C" w:rsidRPr="00055F3C" w:rsidRDefault="00055F3C" w:rsidP="00FD74B5">
      <w:pPr>
        <w:tabs>
          <w:tab w:val="left" w:pos="851"/>
        </w:tabs>
        <w:ind w:left="851"/>
        <w:rPr>
          <w:sz w:val="24"/>
          <w:szCs w:val="24"/>
        </w:rPr>
      </w:pPr>
      <w:r w:rsidRPr="00055F3C">
        <w:rPr>
          <w:sz w:val="24"/>
          <w:szCs w:val="24"/>
        </w:rPr>
        <w:t xml:space="preserve">34639 </w:t>
      </w:r>
      <w:proofErr w:type="spellStart"/>
      <w:r w:rsidRPr="00055F3C">
        <w:rPr>
          <w:sz w:val="24"/>
          <w:szCs w:val="24"/>
        </w:rPr>
        <w:t>Schwarzenborn</w:t>
      </w:r>
      <w:proofErr w:type="spellEnd"/>
      <w:r w:rsidRPr="00055F3C">
        <w:rPr>
          <w:sz w:val="24"/>
          <w:szCs w:val="24"/>
        </w:rPr>
        <w:t xml:space="preserve"> </w:t>
      </w:r>
    </w:p>
    <w:p w14:paraId="03E525AB" w14:textId="77777777" w:rsidR="00055F3C" w:rsidRPr="00055F3C" w:rsidRDefault="00055F3C" w:rsidP="00FD74B5">
      <w:pPr>
        <w:tabs>
          <w:tab w:val="left" w:pos="851"/>
        </w:tabs>
        <w:ind w:left="851"/>
        <w:rPr>
          <w:i/>
          <w:sz w:val="24"/>
          <w:szCs w:val="24"/>
        </w:rPr>
      </w:pPr>
      <w:r w:rsidRPr="00055F3C">
        <w:rPr>
          <w:sz w:val="24"/>
          <w:szCs w:val="24"/>
        </w:rPr>
        <w:t>Tyskland</w:t>
      </w:r>
    </w:p>
    <w:p w14:paraId="08E2BAEF" w14:textId="25D454D3" w:rsidR="00055F3C" w:rsidRPr="00055F3C" w:rsidRDefault="00055F3C" w:rsidP="00FD74B5">
      <w:pPr>
        <w:tabs>
          <w:tab w:val="left" w:pos="851"/>
        </w:tabs>
        <w:ind w:left="851"/>
        <w:rPr>
          <w:i/>
          <w:sz w:val="24"/>
          <w:szCs w:val="24"/>
        </w:rPr>
      </w:pPr>
    </w:p>
    <w:p w14:paraId="7D2A23EF" w14:textId="77777777" w:rsidR="00055F3C" w:rsidRPr="00055F3C" w:rsidRDefault="00055F3C" w:rsidP="00FD74B5">
      <w:pPr>
        <w:tabs>
          <w:tab w:val="left" w:pos="851"/>
        </w:tabs>
        <w:ind w:left="851"/>
        <w:rPr>
          <w:b/>
          <w:sz w:val="24"/>
          <w:szCs w:val="24"/>
        </w:rPr>
      </w:pPr>
      <w:r w:rsidRPr="00055F3C">
        <w:rPr>
          <w:b/>
          <w:sz w:val="24"/>
          <w:szCs w:val="24"/>
        </w:rPr>
        <w:t>Repræsentant</w:t>
      </w:r>
    </w:p>
    <w:p w14:paraId="54B1821B" w14:textId="77777777" w:rsidR="00055F3C" w:rsidRPr="00055F3C" w:rsidRDefault="00055F3C" w:rsidP="00FD74B5">
      <w:pPr>
        <w:tabs>
          <w:tab w:val="left" w:pos="851"/>
        </w:tabs>
        <w:ind w:left="851"/>
        <w:rPr>
          <w:sz w:val="24"/>
          <w:szCs w:val="24"/>
        </w:rPr>
      </w:pPr>
      <w:proofErr w:type="spellStart"/>
      <w:r w:rsidRPr="00055F3C">
        <w:rPr>
          <w:sz w:val="24"/>
          <w:szCs w:val="24"/>
        </w:rPr>
        <w:t>proVET</w:t>
      </w:r>
      <w:proofErr w:type="spellEnd"/>
      <w:r w:rsidRPr="00055F3C">
        <w:rPr>
          <w:sz w:val="24"/>
          <w:szCs w:val="24"/>
        </w:rPr>
        <w:t xml:space="preserve"> Nordic ApS</w:t>
      </w:r>
    </w:p>
    <w:p w14:paraId="38D9306F" w14:textId="77777777" w:rsidR="00055F3C" w:rsidRPr="00055F3C" w:rsidRDefault="00055F3C" w:rsidP="00FD74B5">
      <w:pPr>
        <w:tabs>
          <w:tab w:val="left" w:pos="851"/>
        </w:tabs>
        <w:ind w:left="851"/>
        <w:rPr>
          <w:sz w:val="24"/>
          <w:szCs w:val="24"/>
        </w:rPr>
      </w:pPr>
      <w:r w:rsidRPr="00055F3C">
        <w:rPr>
          <w:sz w:val="24"/>
          <w:szCs w:val="24"/>
        </w:rPr>
        <w:t>Industrivej 5</w:t>
      </w:r>
    </w:p>
    <w:p w14:paraId="7F23D801" w14:textId="77777777" w:rsidR="00055F3C" w:rsidRPr="00055F3C" w:rsidRDefault="00055F3C" w:rsidP="00FD74B5">
      <w:pPr>
        <w:tabs>
          <w:tab w:val="left" w:pos="851"/>
        </w:tabs>
        <w:ind w:left="851"/>
        <w:rPr>
          <w:i/>
          <w:sz w:val="24"/>
          <w:szCs w:val="24"/>
        </w:rPr>
      </w:pPr>
      <w:r w:rsidRPr="00055F3C">
        <w:rPr>
          <w:sz w:val="24"/>
          <w:szCs w:val="24"/>
        </w:rPr>
        <w:t>6640 Lunderskov</w:t>
      </w:r>
    </w:p>
    <w:p w14:paraId="1C5B3445" w14:textId="77777777" w:rsidR="005B0036" w:rsidRPr="00406EE7" w:rsidRDefault="005B0036" w:rsidP="00FD74B5">
      <w:pPr>
        <w:tabs>
          <w:tab w:val="left" w:pos="851"/>
        </w:tabs>
        <w:ind w:left="851"/>
        <w:rPr>
          <w:sz w:val="24"/>
          <w:szCs w:val="24"/>
        </w:rPr>
      </w:pPr>
    </w:p>
    <w:p w14:paraId="71F0E94B" w14:textId="77777777" w:rsidR="005B0036" w:rsidRPr="00406EE7" w:rsidRDefault="005B0036" w:rsidP="00FD74B5">
      <w:pPr>
        <w:ind w:left="851" w:hanging="851"/>
        <w:rPr>
          <w:b/>
          <w:sz w:val="24"/>
          <w:szCs w:val="24"/>
        </w:rPr>
      </w:pPr>
      <w:r w:rsidRPr="00406EE7">
        <w:rPr>
          <w:b/>
          <w:sz w:val="24"/>
          <w:szCs w:val="24"/>
        </w:rPr>
        <w:t>8.</w:t>
      </w:r>
      <w:r w:rsidRPr="00406EE7">
        <w:rPr>
          <w:b/>
          <w:sz w:val="24"/>
          <w:szCs w:val="24"/>
        </w:rPr>
        <w:tab/>
        <w:t>MARKEDSFØRINGSTILLADELSESNUMMER (NUMRE)</w:t>
      </w:r>
    </w:p>
    <w:p w14:paraId="4232E539" w14:textId="5C9E7092" w:rsidR="005B0036" w:rsidRPr="00406EE7" w:rsidRDefault="00107A66" w:rsidP="00FD74B5">
      <w:pPr>
        <w:tabs>
          <w:tab w:val="left" w:pos="851"/>
        </w:tabs>
        <w:ind w:left="851"/>
        <w:rPr>
          <w:sz w:val="24"/>
          <w:szCs w:val="24"/>
        </w:rPr>
      </w:pPr>
      <w:r>
        <w:rPr>
          <w:sz w:val="24"/>
          <w:szCs w:val="24"/>
        </w:rPr>
        <w:t>65925</w:t>
      </w:r>
    </w:p>
    <w:p w14:paraId="359082AA" w14:textId="77777777" w:rsidR="005B0036" w:rsidRPr="00406EE7" w:rsidRDefault="005B0036" w:rsidP="00FD74B5">
      <w:pPr>
        <w:tabs>
          <w:tab w:val="left" w:pos="851"/>
        </w:tabs>
        <w:ind w:left="851"/>
        <w:rPr>
          <w:sz w:val="24"/>
          <w:szCs w:val="24"/>
        </w:rPr>
      </w:pPr>
    </w:p>
    <w:p w14:paraId="03F18E20" w14:textId="77777777" w:rsidR="005B0036" w:rsidRPr="00406EE7" w:rsidRDefault="005B0036" w:rsidP="00FD74B5">
      <w:pPr>
        <w:tabs>
          <w:tab w:val="left" w:pos="851"/>
        </w:tabs>
        <w:rPr>
          <w:b/>
          <w:sz w:val="24"/>
          <w:szCs w:val="24"/>
        </w:rPr>
      </w:pPr>
      <w:r w:rsidRPr="00406EE7">
        <w:rPr>
          <w:b/>
          <w:sz w:val="24"/>
          <w:szCs w:val="24"/>
        </w:rPr>
        <w:t>9.</w:t>
      </w:r>
      <w:r w:rsidRPr="00406EE7">
        <w:rPr>
          <w:b/>
          <w:sz w:val="24"/>
          <w:szCs w:val="24"/>
        </w:rPr>
        <w:tab/>
        <w:t>DATO FOR FØRSTE MARKEDSFØRINGSTILLADELSE</w:t>
      </w:r>
    </w:p>
    <w:p w14:paraId="64E61759" w14:textId="691799B7" w:rsidR="005B0036" w:rsidRPr="00406EE7" w:rsidRDefault="005426C1" w:rsidP="00FD74B5">
      <w:pPr>
        <w:tabs>
          <w:tab w:val="left" w:pos="851"/>
        </w:tabs>
        <w:ind w:left="851"/>
        <w:rPr>
          <w:sz w:val="24"/>
          <w:szCs w:val="24"/>
        </w:rPr>
      </w:pPr>
      <w:r>
        <w:rPr>
          <w:sz w:val="24"/>
          <w:szCs w:val="24"/>
        </w:rPr>
        <w:t>14. august 2023</w:t>
      </w:r>
    </w:p>
    <w:p w14:paraId="6A1A943C" w14:textId="77777777" w:rsidR="005B0036" w:rsidRPr="00406EE7" w:rsidRDefault="005B0036" w:rsidP="00FD74B5">
      <w:pPr>
        <w:tabs>
          <w:tab w:val="left" w:pos="851"/>
        </w:tabs>
        <w:ind w:left="851"/>
        <w:rPr>
          <w:sz w:val="24"/>
          <w:szCs w:val="24"/>
        </w:rPr>
      </w:pPr>
    </w:p>
    <w:p w14:paraId="18B5B903" w14:textId="77777777" w:rsidR="005B0036" w:rsidRPr="00406EE7" w:rsidRDefault="005B0036" w:rsidP="00FD74B5">
      <w:pPr>
        <w:tabs>
          <w:tab w:val="left" w:pos="851"/>
        </w:tabs>
        <w:ind w:left="851" w:hanging="851"/>
        <w:rPr>
          <w:b/>
          <w:sz w:val="24"/>
          <w:szCs w:val="24"/>
        </w:rPr>
      </w:pPr>
      <w:r w:rsidRPr="00406EE7">
        <w:rPr>
          <w:b/>
          <w:sz w:val="24"/>
          <w:szCs w:val="24"/>
        </w:rPr>
        <w:t>10.</w:t>
      </w:r>
      <w:r w:rsidRPr="00406EE7">
        <w:rPr>
          <w:b/>
          <w:sz w:val="24"/>
          <w:szCs w:val="24"/>
        </w:rPr>
        <w:tab/>
        <w:t>DATO FOR ÆNDRING AF TEKSTEN</w:t>
      </w:r>
    </w:p>
    <w:p w14:paraId="0E875B32" w14:textId="398D0066" w:rsidR="005B0036" w:rsidRPr="00406EE7" w:rsidRDefault="00DA5F02" w:rsidP="00FD74B5">
      <w:pPr>
        <w:tabs>
          <w:tab w:val="left" w:pos="851"/>
        </w:tabs>
        <w:ind w:left="851"/>
        <w:rPr>
          <w:sz w:val="24"/>
          <w:szCs w:val="24"/>
        </w:rPr>
      </w:pPr>
      <w:r>
        <w:rPr>
          <w:sz w:val="24"/>
          <w:szCs w:val="24"/>
        </w:rPr>
        <w:t>15. januar 2024</w:t>
      </w:r>
      <w:bookmarkStart w:id="0" w:name="_GoBack"/>
      <w:bookmarkEnd w:id="0"/>
    </w:p>
    <w:p w14:paraId="79C23BFE" w14:textId="77777777" w:rsidR="005B0036" w:rsidRPr="00406EE7" w:rsidRDefault="005B0036" w:rsidP="00FD74B5">
      <w:pPr>
        <w:tabs>
          <w:tab w:val="left" w:pos="851"/>
        </w:tabs>
        <w:ind w:left="851"/>
        <w:rPr>
          <w:sz w:val="24"/>
          <w:szCs w:val="24"/>
        </w:rPr>
      </w:pPr>
    </w:p>
    <w:p w14:paraId="2B846D45" w14:textId="77777777" w:rsidR="005B0036" w:rsidRPr="00406EE7" w:rsidRDefault="005B0036" w:rsidP="00FD74B5">
      <w:pPr>
        <w:tabs>
          <w:tab w:val="left" w:pos="851"/>
        </w:tabs>
        <w:rPr>
          <w:b/>
          <w:sz w:val="24"/>
          <w:szCs w:val="24"/>
        </w:rPr>
      </w:pPr>
      <w:r w:rsidRPr="00406EE7">
        <w:rPr>
          <w:b/>
          <w:sz w:val="24"/>
          <w:szCs w:val="24"/>
        </w:rPr>
        <w:t>11.</w:t>
      </w:r>
      <w:r w:rsidRPr="00406EE7">
        <w:rPr>
          <w:b/>
          <w:sz w:val="24"/>
          <w:szCs w:val="24"/>
        </w:rPr>
        <w:tab/>
        <w:t>UDLEVERINGSBESTEMMELSE</w:t>
      </w:r>
    </w:p>
    <w:p w14:paraId="2429323C" w14:textId="49224795" w:rsidR="0003527F" w:rsidRPr="00C67CDA" w:rsidRDefault="00C67CDA" w:rsidP="00C67CDA">
      <w:pPr>
        <w:pStyle w:val="Sidehoved"/>
        <w:tabs>
          <w:tab w:val="clear" w:pos="4819"/>
          <w:tab w:val="left" w:pos="851"/>
        </w:tabs>
        <w:ind w:left="851"/>
        <w:rPr>
          <w:szCs w:val="24"/>
        </w:rPr>
      </w:pPr>
      <w:r>
        <w:rPr>
          <w:szCs w:val="24"/>
        </w:rPr>
        <w:t>BPK</w:t>
      </w:r>
    </w:p>
    <w:sectPr w:rsidR="0003527F" w:rsidRPr="00C67CD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BA831" w14:textId="77777777" w:rsidR="008679C3" w:rsidRDefault="008679C3">
      <w:r>
        <w:separator/>
      </w:r>
    </w:p>
  </w:endnote>
  <w:endnote w:type="continuationSeparator" w:id="0">
    <w:p w14:paraId="22AD0478" w14:textId="77777777" w:rsidR="008679C3" w:rsidRDefault="0086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1C3A" w14:textId="77777777" w:rsidR="004A62CC" w:rsidRDefault="004A62CC">
    <w:pPr>
      <w:pStyle w:val="Sidefod"/>
      <w:pBdr>
        <w:bottom w:val="single" w:sz="6" w:space="1" w:color="auto"/>
      </w:pBdr>
      <w:tabs>
        <w:tab w:val="clear" w:pos="4819"/>
        <w:tab w:val="left" w:pos="8647"/>
      </w:tabs>
      <w:rPr>
        <w:i/>
        <w:snapToGrid w:val="0"/>
        <w:sz w:val="18"/>
      </w:rPr>
    </w:pPr>
  </w:p>
  <w:p w14:paraId="63DA9D0F" w14:textId="77777777" w:rsidR="004A62CC" w:rsidRDefault="004A62CC">
    <w:pPr>
      <w:pStyle w:val="Sidefod"/>
      <w:tabs>
        <w:tab w:val="clear" w:pos="4819"/>
        <w:tab w:val="left" w:pos="8647"/>
      </w:tabs>
      <w:rPr>
        <w:i/>
        <w:snapToGrid w:val="0"/>
        <w:sz w:val="18"/>
      </w:rPr>
    </w:pPr>
  </w:p>
  <w:p w14:paraId="54C826EF" w14:textId="1A569DA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F12BE">
      <w:rPr>
        <w:i/>
        <w:noProof/>
        <w:snapToGrid w:val="0"/>
        <w:sz w:val="18"/>
      </w:rPr>
      <w:t>Veytosal Vet.</w:t>
    </w:r>
    <w:r w:rsidR="000904C2">
      <w:rPr>
        <w:i/>
        <w:noProof/>
        <w:snapToGrid w:val="0"/>
        <w:sz w:val="18"/>
      </w:rPr>
      <w:t>, injektionsvæske, opløsning 100+0,05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3BFD" w14:textId="77777777" w:rsidR="004A62CC" w:rsidRDefault="004A62CC">
    <w:pPr>
      <w:pStyle w:val="Sidefod"/>
      <w:pBdr>
        <w:bottom w:val="single" w:sz="6" w:space="1" w:color="auto"/>
      </w:pBdr>
      <w:tabs>
        <w:tab w:val="clear" w:pos="4819"/>
        <w:tab w:val="left" w:pos="8647"/>
      </w:tabs>
      <w:rPr>
        <w:i/>
        <w:snapToGrid w:val="0"/>
        <w:sz w:val="18"/>
      </w:rPr>
    </w:pPr>
  </w:p>
  <w:p w14:paraId="74E23FB5" w14:textId="77777777" w:rsidR="004A62CC" w:rsidRDefault="004A62CC">
    <w:pPr>
      <w:pStyle w:val="Sidefod"/>
      <w:tabs>
        <w:tab w:val="clear" w:pos="4819"/>
        <w:tab w:val="left" w:pos="8647"/>
      </w:tabs>
      <w:rPr>
        <w:i/>
        <w:snapToGrid w:val="0"/>
        <w:sz w:val="18"/>
      </w:rPr>
    </w:pPr>
  </w:p>
  <w:p w14:paraId="26B30B0D" w14:textId="34B73FE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F12BE">
      <w:rPr>
        <w:i/>
        <w:noProof/>
        <w:snapToGrid w:val="0"/>
        <w:sz w:val="18"/>
      </w:rPr>
      <w:t>Veytosal Vet.</w:t>
    </w:r>
    <w:r w:rsidR="000904C2">
      <w:rPr>
        <w:i/>
        <w:noProof/>
        <w:snapToGrid w:val="0"/>
        <w:sz w:val="18"/>
      </w:rPr>
      <w:t>, injektionsvæske, opløsning 100+0,05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AEEE" w14:textId="77777777" w:rsidR="008679C3" w:rsidRDefault="008679C3">
      <w:r>
        <w:separator/>
      </w:r>
    </w:p>
  </w:footnote>
  <w:footnote w:type="continuationSeparator" w:id="0">
    <w:p w14:paraId="50A29463" w14:textId="77777777" w:rsidR="008679C3" w:rsidRDefault="0086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BBC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C03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3"/>
    <w:rsid w:val="00020E5E"/>
    <w:rsid w:val="0003527F"/>
    <w:rsid w:val="000559B1"/>
    <w:rsid w:val="00055F3C"/>
    <w:rsid w:val="00065C7D"/>
    <w:rsid w:val="000811A4"/>
    <w:rsid w:val="000904C2"/>
    <w:rsid w:val="000C6CD4"/>
    <w:rsid w:val="00107A66"/>
    <w:rsid w:val="00127675"/>
    <w:rsid w:val="00137DA4"/>
    <w:rsid w:val="001577E4"/>
    <w:rsid w:val="001858CA"/>
    <w:rsid w:val="001C4AEF"/>
    <w:rsid w:val="001D3CC5"/>
    <w:rsid w:val="002400D2"/>
    <w:rsid w:val="00322BDE"/>
    <w:rsid w:val="00324073"/>
    <w:rsid w:val="00406EE7"/>
    <w:rsid w:val="00407013"/>
    <w:rsid w:val="00497356"/>
    <w:rsid w:val="004A62CC"/>
    <w:rsid w:val="005426C1"/>
    <w:rsid w:val="00565A74"/>
    <w:rsid w:val="005B0036"/>
    <w:rsid w:val="005D5263"/>
    <w:rsid w:val="005F5831"/>
    <w:rsid w:val="00631237"/>
    <w:rsid w:val="00654122"/>
    <w:rsid w:val="00662012"/>
    <w:rsid w:val="00666B01"/>
    <w:rsid w:val="006B1539"/>
    <w:rsid w:val="006B6861"/>
    <w:rsid w:val="006F5621"/>
    <w:rsid w:val="007207EE"/>
    <w:rsid w:val="0073469F"/>
    <w:rsid w:val="0076680C"/>
    <w:rsid w:val="007A7A0A"/>
    <w:rsid w:val="007E2A00"/>
    <w:rsid w:val="008010F2"/>
    <w:rsid w:val="008679C3"/>
    <w:rsid w:val="009202AE"/>
    <w:rsid w:val="009D66C6"/>
    <w:rsid w:val="00A13449"/>
    <w:rsid w:val="00A13E87"/>
    <w:rsid w:val="00A25E33"/>
    <w:rsid w:val="00A96525"/>
    <w:rsid w:val="00AB77DD"/>
    <w:rsid w:val="00AE29E5"/>
    <w:rsid w:val="00AE5757"/>
    <w:rsid w:val="00AF12BE"/>
    <w:rsid w:val="00B25EB8"/>
    <w:rsid w:val="00BC61B5"/>
    <w:rsid w:val="00BC634B"/>
    <w:rsid w:val="00BF155C"/>
    <w:rsid w:val="00BF2AE0"/>
    <w:rsid w:val="00C10080"/>
    <w:rsid w:val="00C479BF"/>
    <w:rsid w:val="00C67CDA"/>
    <w:rsid w:val="00CF2399"/>
    <w:rsid w:val="00D821E1"/>
    <w:rsid w:val="00DA21E5"/>
    <w:rsid w:val="00DA5F02"/>
    <w:rsid w:val="00DD6D71"/>
    <w:rsid w:val="00DE20EF"/>
    <w:rsid w:val="00DF0764"/>
    <w:rsid w:val="00DF32BE"/>
    <w:rsid w:val="00E14F0A"/>
    <w:rsid w:val="00EB5778"/>
    <w:rsid w:val="00EE5253"/>
    <w:rsid w:val="00F719E8"/>
    <w:rsid w:val="00FA66E4"/>
    <w:rsid w:val="00FD6433"/>
    <w:rsid w:val="00FD74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B5C2"/>
  <w15:chartTrackingRefBased/>
  <w15:docId w15:val="{3D6530DF-C3B3-4CEE-BA66-B8F9923D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uiPriority w:val="1"/>
    <w:qFormat/>
    <w:rsid w:val="00C10080"/>
    <w:pPr>
      <w:widowControl w:val="0"/>
      <w:ind w:left="118"/>
    </w:pPr>
    <w:rPr>
      <w:rFonts w:cstheme="minorBidi"/>
      <w:i/>
      <w:sz w:val="22"/>
      <w:szCs w:val="22"/>
    </w:rPr>
  </w:style>
  <w:style w:type="character" w:customStyle="1" w:styleId="BrdtekstTegn">
    <w:name w:val="Brødtekst Tegn"/>
    <w:basedOn w:val="Standardskrifttypeiafsnit"/>
    <w:link w:val="Brdtekst"/>
    <w:uiPriority w:val="1"/>
    <w:rsid w:val="00C10080"/>
    <w:rPr>
      <w:rFonts w:cstheme="minorBidi"/>
      <w:i/>
      <w:sz w:val="22"/>
      <w:szCs w:val="22"/>
      <w:lang w:eastAsia="en-US"/>
    </w:rPr>
  </w:style>
  <w:style w:type="table" w:styleId="Tabel-Gitter">
    <w:name w:val="Table Grid"/>
    <w:basedOn w:val="Tabel-Normal"/>
    <w:uiPriority w:val="39"/>
    <w:rsid w:val="00C10080"/>
    <w:pPr>
      <w:widowControl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Template>
  <TotalTime>0</TotalTime>
  <Pages>5</Pages>
  <Words>961</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2023092909_x000d_
SPC pkt. 6.5 fjernelse af specifikationer for pakning._x000d_
d.15.01.2024 + rettelse fra 2år til 3 år</dc:description>
  <cp:lastModifiedBy>Kristine Skov Hansen</cp:lastModifiedBy>
  <cp:revision>2</cp:revision>
  <dcterms:created xsi:type="dcterms:W3CDTF">2024-01-15T14:47:00Z</dcterms:created>
  <dcterms:modified xsi:type="dcterms:W3CDTF">2024-01-15T14:47:00Z</dcterms:modified>
</cp:coreProperties>
</file>