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3A8" w:rsidRPr="008F49E1" w:rsidRDefault="008203A8" w:rsidP="008203A8">
      <w:pPr>
        <w:rPr>
          <w:sz w:val="24"/>
          <w:szCs w:val="24"/>
        </w:rPr>
      </w:pPr>
      <w:r w:rsidRPr="005B0036">
        <w:rPr>
          <w:noProof/>
          <w:sz w:val="24"/>
          <w:szCs w:val="24"/>
          <w:lang w:eastAsia="da-DK"/>
        </w:rPr>
        <w:drawing>
          <wp:inline distT="0" distB="0" distL="0" distR="0" wp14:anchorId="59EE7900" wp14:editId="2CA4DBF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203A8" w:rsidRDefault="008203A8" w:rsidP="008203A8">
      <w:pPr>
        <w:rPr>
          <w:sz w:val="24"/>
          <w:szCs w:val="24"/>
        </w:rPr>
      </w:pPr>
    </w:p>
    <w:p w:rsidR="008203A8" w:rsidRPr="00406EE7" w:rsidRDefault="008203A8" w:rsidP="008203A8">
      <w:pPr>
        <w:tabs>
          <w:tab w:val="right" w:pos="9356"/>
        </w:tabs>
        <w:rPr>
          <w:b/>
          <w:sz w:val="24"/>
          <w:szCs w:val="24"/>
        </w:rPr>
      </w:pPr>
      <w:r>
        <w:rPr>
          <w:b/>
          <w:sz w:val="24"/>
          <w:szCs w:val="24"/>
        </w:rPr>
        <w:tab/>
      </w:r>
      <w:r w:rsidR="008B394F">
        <w:rPr>
          <w:b/>
          <w:sz w:val="24"/>
          <w:szCs w:val="24"/>
        </w:rPr>
        <w:t>16. maj 2023</w:t>
      </w:r>
    </w:p>
    <w:p w:rsidR="008203A8" w:rsidRDefault="008203A8" w:rsidP="008203A8">
      <w:pPr>
        <w:rPr>
          <w:sz w:val="24"/>
          <w:szCs w:val="24"/>
        </w:rPr>
      </w:pPr>
    </w:p>
    <w:p w:rsidR="008203A8" w:rsidRDefault="008203A8" w:rsidP="008203A8">
      <w:pPr>
        <w:jc w:val="center"/>
        <w:rPr>
          <w:b/>
          <w:sz w:val="24"/>
          <w:szCs w:val="24"/>
        </w:rPr>
      </w:pPr>
    </w:p>
    <w:p w:rsidR="008203A8" w:rsidRPr="00406EE7" w:rsidRDefault="008203A8" w:rsidP="008203A8">
      <w:pPr>
        <w:jc w:val="center"/>
        <w:rPr>
          <w:b/>
          <w:sz w:val="24"/>
          <w:szCs w:val="24"/>
        </w:rPr>
      </w:pPr>
      <w:r w:rsidRPr="00406EE7">
        <w:rPr>
          <w:b/>
          <w:sz w:val="24"/>
          <w:szCs w:val="24"/>
        </w:rPr>
        <w:t>PRODUKTRESUMÉ</w:t>
      </w:r>
    </w:p>
    <w:p w:rsidR="008203A8" w:rsidRPr="00406EE7" w:rsidRDefault="008203A8" w:rsidP="008203A8">
      <w:pPr>
        <w:jc w:val="center"/>
        <w:rPr>
          <w:b/>
          <w:sz w:val="24"/>
          <w:szCs w:val="24"/>
        </w:rPr>
      </w:pPr>
    </w:p>
    <w:p w:rsidR="008203A8" w:rsidRPr="00406EE7" w:rsidRDefault="008203A8" w:rsidP="008203A8">
      <w:pPr>
        <w:jc w:val="center"/>
        <w:rPr>
          <w:b/>
          <w:sz w:val="24"/>
          <w:szCs w:val="24"/>
        </w:rPr>
      </w:pPr>
      <w:r w:rsidRPr="00406EE7">
        <w:rPr>
          <w:b/>
          <w:sz w:val="24"/>
          <w:szCs w:val="24"/>
        </w:rPr>
        <w:t>for</w:t>
      </w:r>
    </w:p>
    <w:p w:rsidR="008203A8" w:rsidRPr="00406EE7" w:rsidRDefault="008203A8" w:rsidP="008203A8">
      <w:pPr>
        <w:jc w:val="center"/>
        <w:rPr>
          <w:b/>
          <w:sz w:val="24"/>
          <w:szCs w:val="24"/>
        </w:rPr>
      </w:pPr>
    </w:p>
    <w:p w:rsidR="008203A8" w:rsidRPr="00565A74" w:rsidRDefault="000F0B4C" w:rsidP="008203A8">
      <w:pPr>
        <w:jc w:val="center"/>
        <w:rPr>
          <w:b/>
          <w:sz w:val="24"/>
          <w:szCs w:val="24"/>
        </w:rPr>
      </w:pPr>
      <w:r>
        <w:rPr>
          <w:b/>
          <w:sz w:val="24"/>
          <w:szCs w:val="24"/>
        </w:rPr>
        <w:t>Vitofyllin, tabletter 50 mg</w:t>
      </w:r>
    </w:p>
    <w:p w:rsidR="008203A8" w:rsidRPr="00406EE7" w:rsidRDefault="008203A8" w:rsidP="008203A8">
      <w:pPr>
        <w:jc w:val="both"/>
        <w:rPr>
          <w:sz w:val="24"/>
          <w:szCs w:val="24"/>
        </w:rPr>
      </w:pPr>
    </w:p>
    <w:p w:rsidR="008203A8" w:rsidRDefault="008203A8" w:rsidP="008203A8">
      <w:pPr>
        <w:jc w:val="both"/>
        <w:rPr>
          <w:sz w:val="24"/>
          <w:szCs w:val="24"/>
        </w:rPr>
      </w:pPr>
    </w:p>
    <w:p w:rsidR="008203A8" w:rsidRPr="00406EE7" w:rsidRDefault="008203A8" w:rsidP="008203A8">
      <w:pPr>
        <w:jc w:val="both"/>
        <w:rPr>
          <w:sz w:val="24"/>
          <w:szCs w:val="24"/>
        </w:rPr>
      </w:pPr>
    </w:p>
    <w:p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rsidR="008203A8" w:rsidRPr="00406EE7" w:rsidRDefault="000F0B4C" w:rsidP="008203A8">
      <w:pPr>
        <w:ind w:left="851"/>
        <w:rPr>
          <w:sz w:val="24"/>
          <w:szCs w:val="24"/>
        </w:rPr>
      </w:pPr>
      <w:r>
        <w:rPr>
          <w:sz w:val="24"/>
          <w:szCs w:val="24"/>
        </w:rPr>
        <w:t>33252</w:t>
      </w:r>
    </w:p>
    <w:p w:rsidR="008203A8" w:rsidRPr="00406EE7" w:rsidRDefault="008203A8" w:rsidP="008203A8">
      <w:pPr>
        <w:ind w:left="851"/>
        <w:rPr>
          <w:sz w:val="24"/>
          <w:szCs w:val="24"/>
        </w:rPr>
      </w:pPr>
    </w:p>
    <w:p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rsidR="008203A8" w:rsidRDefault="000F0B4C" w:rsidP="008203A8">
      <w:pPr>
        <w:ind w:left="851"/>
        <w:rPr>
          <w:sz w:val="24"/>
          <w:szCs w:val="24"/>
        </w:rPr>
      </w:pPr>
      <w:r>
        <w:rPr>
          <w:sz w:val="24"/>
          <w:szCs w:val="24"/>
        </w:rPr>
        <w:t>Vitofyllin</w:t>
      </w:r>
    </w:p>
    <w:p w:rsidR="008203A8" w:rsidRDefault="008203A8" w:rsidP="008203A8">
      <w:pPr>
        <w:ind w:left="851"/>
        <w:rPr>
          <w:sz w:val="24"/>
          <w:szCs w:val="24"/>
        </w:rPr>
      </w:pPr>
    </w:p>
    <w:p w:rsidR="008203A8" w:rsidRPr="00776C2C" w:rsidRDefault="008203A8" w:rsidP="008203A8">
      <w:pPr>
        <w:ind w:left="851"/>
        <w:rPr>
          <w:sz w:val="24"/>
          <w:szCs w:val="24"/>
        </w:rPr>
      </w:pPr>
      <w:r w:rsidRPr="00776C2C">
        <w:rPr>
          <w:sz w:val="24"/>
          <w:szCs w:val="24"/>
        </w:rPr>
        <w:t xml:space="preserve">Lægemiddelform: </w:t>
      </w:r>
      <w:r w:rsidR="001E152B">
        <w:rPr>
          <w:sz w:val="24"/>
          <w:szCs w:val="24"/>
        </w:rPr>
        <w:t>Filmovertrukne tabletter</w:t>
      </w:r>
      <w:r w:rsidR="006E5165">
        <w:rPr>
          <w:sz w:val="24"/>
          <w:szCs w:val="24"/>
        </w:rPr>
        <w:t>.</w:t>
      </w:r>
    </w:p>
    <w:p w:rsidR="008203A8" w:rsidRPr="00776C2C" w:rsidRDefault="008203A8" w:rsidP="008203A8">
      <w:pPr>
        <w:ind w:left="851"/>
        <w:rPr>
          <w:sz w:val="24"/>
          <w:szCs w:val="24"/>
        </w:rPr>
      </w:pPr>
      <w:r w:rsidRPr="00776C2C">
        <w:rPr>
          <w:sz w:val="24"/>
          <w:szCs w:val="24"/>
        </w:rPr>
        <w:t xml:space="preserve">Styrke: </w:t>
      </w:r>
      <w:r w:rsidR="001E152B">
        <w:rPr>
          <w:sz w:val="24"/>
          <w:szCs w:val="24"/>
        </w:rPr>
        <w:t>50 mg</w:t>
      </w:r>
    </w:p>
    <w:p w:rsidR="009F5637" w:rsidRPr="00406EE7" w:rsidRDefault="009F5637" w:rsidP="008203A8">
      <w:pPr>
        <w:ind w:left="851"/>
        <w:rPr>
          <w:sz w:val="24"/>
          <w:szCs w:val="24"/>
        </w:rPr>
      </w:pPr>
    </w:p>
    <w:p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rsidR="001F38C9" w:rsidRPr="001F38C9" w:rsidRDefault="001F38C9" w:rsidP="001F38C9">
      <w:pPr>
        <w:ind w:left="851"/>
        <w:rPr>
          <w:sz w:val="24"/>
          <w:szCs w:val="24"/>
        </w:rPr>
      </w:pPr>
      <w:r w:rsidRPr="001F38C9">
        <w:rPr>
          <w:sz w:val="24"/>
          <w:szCs w:val="24"/>
        </w:rPr>
        <w:t>Hver filmovertrukket tablet indeholder:</w:t>
      </w:r>
    </w:p>
    <w:p w:rsidR="001F38C9" w:rsidRPr="001F38C9" w:rsidRDefault="001F38C9" w:rsidP="001F38C9">
      <w:pPr>
        <w:ind w:left="851"/>
        <w:rPr>
          <w:sz w:val="24"/>
          <w:szCs w:val="24"/>
        </w:rPr>
      </w:pPr>
    </w:p>
    <w:p w:rsidR="001E152B" w:rsidRDefault="001F38C9" w:rsidP="001F38C9">
      <w:pPr>
        <w:ind w:left="851"/>
        <w:rPr>
          <w:b/>
          <w:sz w:val="24"/>
          <w:szCs w:val="24"/>
        </w:rPr>
      </w:pPr>
      <w:r w:rsidRPr="001F38C9">
        <w:rPr>
          <w:b/>
          <w:sz w:val="24"/>
          <w:szCs w:val="24"/>
        </w:rPr>
        <w:t>Aktivt stof</w:t>
      </w:r>
    </w:p>
    <w:p w:rsidR="001F38C9" w:rsidRPr="001F38C9" w:rsidRDefault="001F38C9" w:rsidP="001F38C9">
      <w:pPr>
        <w:ind w:left="851"/>
        <w:rPr>
          <w:iCs/>
          <w:sz w:val="24"/>
          <w:szCs w:val="24"/>
        </w:rPr>
      </w:pPr>
      <w:r w:rsidRPr="001F38C9">
        <w:rPr>
          <w:sz w:val="24"/>
          <w:szCs w:val="24"/>
        </w:rPr>
        <w:t>Propentofyllin</w:t>
      </w:r>
      <w:r w:rsidR="001E152B">
        <w:rPr>
          <w:sz w:val="24"/>
          <w:szCs w:val="24"/>
        </w:rPr>
        <w:t xml:space="preserve"> </w:t>
      </w:r>
      <w:r w:rsidRPr="001F38C9">
        <w:rPr>
          <w:sz w:val="24"/>
          <w:szCs w:val="24"/>
        </w:rPr>
        <w:t>50,00 mg/tablet</w:t>
      </w:r>
    </w:p>
    <w:p w:rsidR="001F38C9" w:rsidRPr="001F38C9" w:rsidRDefault="001F38C9" w:rsidP="001F38C9">
      <w:pPr>
        <w:ind w:left="851"/>
        <w:rPr>
          <w:sz w:val="24"/>
          <w:szCs w:val="24"/>
        </w:rPr>
      </w:pPr>
    </w:p>
    <w:tbl>
      <w:tblPr>
        <w:tblW w:w="847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4643"/>
      </w:tblGrid>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vAlign w:val="center"/>
            <w:hideMark/>
          </w:tcPr>
          <w:p w:rsidR="001F38C9" w:rsidRDefault="001F38C9" w:rsidP="00064FAF">
            <w:pPr>
              <w:ind w:left="33"/>
              <w:rPr>
                <w:b/>
                <w:bCs/>
                <w:iCs/>
                <w:sz w:val="24"/>
                <w:szCs w:val="24"/>
              </w:rPr>
            </w:pPr>
            <w:r w:rsidRPr="001F38C9">
              <w:rPr>
                <w:b/>
                <w:bCs/>
                <w:iCs/>
                <w:sz w:val="24"/>
                <w:szCs w:val="24"/>
              </w:rPr>
              <w:t>Kvalitativ sammensætning af hjælpestoffer og andre bestanddele</w:t>
            </w:r>
          </w:p>
          <w:p w:rsidR="00064FAF" w:rsidRPr="001F38C9" w:rsidRDefault="00064FAF" w:rsidP="00064FAF">
            <w:pPr>
              <w:ind w:left="33"/>
              <w:rPr>
                <w:iCs/>
                <w:sz w:val="24"/>
                <w:szCs w:val="24"/>
              </w:rPr>
            </w:pPr>
          </w:p>
        </w:tc>
        <w:tc>
          <w:tcPr>
            <w:tcW w:w="4643"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0"/>
              <w:rPr>
                <w:b/>
                <w:bCs/>
                <w:iCs/>
                <w:sz w:val="24"/>
                <w:szCs w:val="24"/>
              </w:rPr>
            </w:pPr>
            <w:r w:rsidRPr="001F38C9">
              <w:rPr>
                <w:b/>
                <w:bCs/>
                <w:iCs/>
                <w:sz w:val="24"/>
                <w:szCs w:val="24"/>
              </w:rPr>
              <w:t>Kvantitativ sammensætning, hvis oplysningen er vigtig for korrekt administration af veterinærlægemidlet</w:t>
            </w: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vAlign w:val="center"/>
            <w:hideMark/>
          </w:tcPr>
          <w:p w:rsidR="001F38C9" w:rsidRPr="001F38C9" w:rsidRDefault="001F38C9" w:rsidP="00064FAF">
            <w:pPr>
              <w:ind w:left="33"/>
              <w:rPr>
                <w:b/>
                <w:bCs/>
                <w:iCs/>
                <w:sz w:val="24"/>
                <w:szCs w:val="24"/>
              </w:rPr>
            </w:pPr>
            <w:r w:rsidRPr="001F38C9">
              <w:rPr>
                <w:b/>
                <w:bCs/>
                <w:iCs/>
                <w:sz w:val="24"/>
                <w:szCs w:val="24"/>
              </w:rPr>
              <w:t>Filmovertræk:</w:t>
            </w: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b/>
                <w:bCs/>
                <w:iCs/>
                <w:sz w:val="24"/>
                <w:szCs w:val="24"/>
              </w:rPr>
            </w:pP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sz w:val="24"/>
                <w:szCs w:val="24"/>
              </w:rPr>
            </w:pPr>
            <w:r w:rsidRPr="001F38C9">
              <w:rPr>
                <w:sz w:val="24"/>
                <w:szCs w:val="24"/>
              </w:rPr>
              <w:t>Titandioxid, E171</w:t>
            </w:r>
          </w:p>
        </w:tc>
        <w:tc>
          <w:tcPr>
            <w:tcW w:w="4643" w:type="dxa"/>
            <w:tcBorders>
              <w:top w:val="single" w:sz="4" w:space="0" w:color="000000"/>
              <w:left w:val="single" w:sz="4" w:space="0" w:color="000000"/>
              <w:bottom w:val="single" w:sz="4" w:space="0" w:color="000000"/>
              <w:right w:val="single" w:sz="4" w:space="0" w:color="000000"/>
            </w:tcBorders>
            <w:vAlign w:val="center"/>
            <w:hideMark/>
          </w:tcPr>
          <w:p w:rsidR="001F38C9" w:rsidRPr="001F38C9" w:rsidRDefault="001F38C9" w:rsidP="00064FAF">
            <w:pPr>
              <w:ind w:left="30"/>
              <w:rPr>
                <w:sz w:val="24"/>
                <w:szCs w:val="24"/>
              </w:rPr>
            </w:pPr>
            <w:r w:rsidRPr="001F38C9">
              <w:rPr>
                <w:sz w:val="24"/>
                <w:szCs w:val="24"/>
              </w:rPr>
              <w:t>0,215 mg/tablet</w:t>
            </w: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sz w:val="24"/>
                <w:szCs w:val="24"/>
              </w:rPr>
            </w:pPr>
            <w:r w:rsidRPr="001F38C9">
              <w:rPr>
                <w:sz w:val="24"/>
                <w:szCs w:val="24"/>
              </w:rPr>
              <w:t>Jernoxid, gul, E172</w:t>
            </w:r>
          </w:p>
        </w:tc>
        <w:tc>
          <w:tcPr>
            <w:tcW w:w="4643" w:type="dxa"/>
            <w:tcBorders>
              <w:top w:val="single" w:sz="4" w:space="0" w:color="000000"/>
              <w:left w:val="single" w:sz="4" w:space="0" w:color="000000"/>
              <w:bottom w:val="single" w:sz="4" w:space="0" w:color="000000"/>
              <w:right w:val="single" w:sz="4" w:space="0" w:color="000000"/>
            </w:tcBorders>
            <w:vAlign w:val="center"/>
            <w:hideMark/>
          </w:tcPr>
          <w:p w:rsidR="001F38C9" w:rsidRPr="001F38C9" w:rsidRDefault="001F38C9" w:rsidP="00064FAF">
            <w:pPr>
              <w:ind w:left="30"/>
              <w:rPr>
                <w:sz w:val="24"/>
                <w:szCs w:val="24"/>
              </w:rPr>
            </w:pPr>
            <w:r w:rsidRPr="001F38C9">
              <w:rPr>
                <w:sz w:val="24"/>
                <w:szCs w:val="24"/>
              </w:rPr>
              <w:t>0,075 mg/tablet</w:t>
            </w: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sz w:val="24"/>
                <w:szCs w:val="24"/>
              </w:rPr>
            </w:pPr>
            <w:r w:rsidRPr="001F38C9">
              <w:rPr>
                <w:sz w:val="24"/>
                <w:szCs w:val="24"/>
              </w:rPr>
              <w:t>Hypromellose</w:t>
            </w: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sz w:val="24"/>
                <w:szCs w:val="24"/>
              </w:rPr>
            </w:pP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sz w:val="24"/>
                <w:szCs w:val="24"/>
              </w:rPr>
            </w:pPr>
            <w:r w:rsidRPr="001F38C9">
              <w:rPr>
                <w:sz w:val="24"/>
                <w:szCs w:val="24"/>
              </w:rPr>
              <w:t>Macrogol 6000</w:t>
            </w: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sz w:val="24"/>
                <w:szCs w:val="24"/>
              </w:rPr>
            </w:pP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sz w:val="24"/>
                <w:szCs w:val="24"/>
              </w:rPr>
            </w:pPr>
            <w:r w:rsidRPr="001F38C9">
              <w:rPr>
                <w:sz w:val="24"/>
                <w:szCs w:val="24"/>
              </w:rPr>
              <w:t>Tal</w:t>
            </w:r>
            <w:r w:rsidR="00064FAF">
              <w:rPr>
                <w:sz w:val="24"/>
                <w:szCs w:val="24"/>
              </w:rPr>
              <w:t>c</w:t>
            </w:r>
            <w:r w:rsidRPr="001F38C9">
              <w:rPr>
                <w:sz w:val="24"/>
                <w:szCs w:val="24"/>
              </w:rPr>
              <w:t>um</w:t>
            </w: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sz w:val="24"/>
                <w:szCs w:val="24"/>
              </w:rPr>
            </w:pP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3"/>
              <w:rPr>
                <w:sz w:val="24"/>
                <w:szCs w:val="24"/>
              </w:rPr>
            </w:pP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sz w:val="24"/>
                <w:szCs w:val="24"/>
              </w:rPr>
            </w:pP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b/>
                <w:sz w:val="24"/>
                <w:szCs w:val="24"/>
              </w:rPr>
            </w:pPr>
            <w:r w:rsidRPr="001F38C9">
              <w:rPr>
                <w:b/>
                <w:sz w:val="24"/>
                <w:szCs w:val="24"/>
              </w:rPr>
              <w:t xml:space="preserve">Kerne: </w:t>
            </w: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sz w:val="24"/>
                <w:szCs w:val="24"/>
              </w:rPr>
            </w:pP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sz w:val="24"/>
                <w:szCs w:val="24"/>
              </w:rPr>
            </w:pPr>
            <w:r w:rsidRPr="001F38C9">
              <w:rPr>
                <w:sz w:val="24"/>
                <w:szCs w:val="24"/>
              </w:rPr>
              <w:t>Lactosemonohydrat</w:t>
            </w: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sz w:val="24"/>
                <w:szCs w:val="24"/>
              </w:rPr>
            </w:pP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sz w:val="24"/>
                <w:szCs w:val="24"/>
              </w:rPr>
            </w:pPr>
            <w:r w:rsidRPr="001F38C9">
              <w:rPr>
                <w:sz w:val="24"/>
                <w:szCs w:val="24"/>
              </w:rPr>
              <w:t>Majsstivelse</w:t>
            </w: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sz w:val="24"/>
                <w:szCs w:val="24"/>
              </w:rPr>
            </w:pP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sz w:val="24"/>
                <w:szCs w:val="24"/>
              </w:rPr>
            </w:pPr>
            <w:r w:rsidRPr="001F38C9">
              <w:rPr>
                <w:sz w:val="24"/>
                <w:szCs w:val="24"/>
              </w:rPr>
              <w:t>Crospovidon</w:t>
            </w: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sz w:val="24"/>
                <w:szCs w:val="24"/>
              </w:rPr>
            </w:pP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sz w:val="24"/>
                <w:szCs w:val="24"/>
              </w:rPr>
            </w:pPr>
            <w:r w:rsidRPr="001F38C9">
              <w:rPr>
                <w:sz w:val="24"/>
                <w:szCs w:val="24"/>
              </w:rPr>
              <w:t>Tal</w:t>
            </w:r>
            <w:r w:rsidR="00064FAF">
              <w:rPr>
                <w:sz w:val="24"/>
                <w:szCs w:val="24"/>
              </w:rPr>
              <w:t>c</w:t>
            </w:r>
            <w:r w:rsidRPr="001F38C9">
              <w:rPr>
                <w:sz w:val="24"/>
                <w:szCs w:val="24"/>
              </w:rPr>
              <w:t>um</w:t>
            </w: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sz w:val="24"/>
                <w:szCs w:val="24"/>
              </w:rPr>
            </w:pP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sz w:val="24"/>
                <w:szCs w:val="24"/>
              </w:rPr>
            </w:pPr>
            <w:r w:rsidRPr="001F38C9">
              <w:rPr>
                <w:sz w:val="24"/>
                <w:szCs w:val="24"/>
              </w:rPr>
              <w:t xml:space="preserve">Silica, kolloid vandfri </w:t>
            </w: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sz w:val="24"/>
                <w:szCs w:val="24"/>
              </w:rPr>
            </w:pPr>
          </w:p>
        </w:tc>
      </w:tr>
      <w:tr w:rsidR="001F38C9" w:rsidRPr="001F38C9" w:rsidTr="001E152B">
        <w:tc>
          <w:tcPr>
            <w:tcW w:w="3827" w:type="dxa"/>
            <w:tcBorders>
              <w:top w:val="single" w:sz="4" w:space="0" w:color="000000"/>
              <w:left w:val="single" w:sz="4" w:space="0" w:color="000000"/>
              <w:bottom w:val="single" w:sz="4" w:space="0" w:color="000000"/>
              <w:right w:val="single" w:sz="4" w:space="0" w:color="000000"/>
            </w:tcBorders>
            <w:hideMark/>
          </w:tcPr>
          <w:p w:rsidR="001F38C9" w:rsidRPr="001F38C9" w:rsidRDefault="001F38C9" w:rsidP="00064FAF">
            <w:pPr>
              <w:ind w:left="33"/>
              <w:rPr>
                <w:sz w:val="24"/>
                <w:szCs w:val="24"/>
              </w:rPr>
            </w:pPr>
            <w:r w:rsidRPr="001F38C9">
              <w:rPr>
                <w:sz w:val="24"/>
                <w:szCs w:val="24"/>
              </w:rPr>
              <w:t xml:space="preserve">Magnesiumstearat </w:t>
            </w:r>
          </w:p>
        </w:tc>
        <w:tc>
          <w:tcPr>
            <w:tcW w:w="4643" w:type="dxa"/>
            <w:tcBorders>
              <w:top w:val="single" w:sz="4" w:space="0" w:color="000000"/>
              <w:left w:val="single" w:sz="4" w:space="0" w:color="000000"/>
              <w:bottom w:val="single" w:sz="4" w:space="0" w:color="000000"/>
              <w:right w:val="single" w:sz="4" w:space="0" w:color="000000"/>
            </w:tcBorders>
          </w:tcPr>
          <w:p w:rsidR="001F38C9" w:rsidRPr="001F38C9" w:rsidRDefault="001F38C9" w:rsidP="00064FAF">
            <w:pPr>
              <w:ind w:left="30"/>
              <w:rPr>
                <w:sz w:val="24"/>
                <w:szCs w:val="24"/>
              </w:rPr>
            </w:pPr>
          </w:p>
        </w:tc>
      </w:tr>
    </w:tbl>
    <w:p w:rsidR="001F38C9" w:rsidRPr="001F38C9" w:rsidRDefault="001F38C9" w:rsidP="001F38C9">
      <w:pPr>
        <w:ind w:left="851"/>
        <w:rPr>
          <w:sz w:val="24"/>
          <w:szCs w:val="24"/>
        </w:rPr>
      </w:pPr>
    </w:p>
    <w:p w:rsidR="001F38C9" w:rsidRPr="001F38C9" w:rsidRDefault="001F38C9" w:rsidP="001F38C9">
      <w:pPr>
        <w:ind w:left="851"/>
        <w:rPr>
          <w:sz w:val="24"/>
          <w:szCs w:val="24"/>
        </w:rPr>
      </w:pPr>
      <w:r w:rsidRPr="001F38C9">
        <w:rPr>
          <w:sz w:val="24"/>
          <w:szCs w:val="24"/>
        </w:rPr>
        <w:t>Filmovertrukne tabletter.</w:t>
      </w:r>
    </w:p>
    <w:p w:rsidR="009F5637" w:rsidRPr="001F38C9" w:rsidRDefault="009F5637" w:rsidP="009F5637">
      <w:pPr>
        <w:ind w:left="851"/>
        <w:rPr>
          <w:sz w:val="24"/>
          <w:szCs w:val="24"/>
        </w:rPr>
      </w:pPr>
      <w:r w:rsidRPr="001F38C9">
        <w:rPr>
          <w:sz w:val="24"/>
          <w:szCs w:val="24"/>
        </w:rPr>
        <w:lastRenderedPageBreak/>
        <w:t>Gule, runde, konvekse tabletter med en krydsdelekærv på den ene side og præget med "50" på den anden side.</w:t>
      </w:r>
    </w:p>
    <w:p w:rsidR="009F5637" w:rsidRPr="001F38C9" w:rsidRDefault="009F5637" w:rsidP="009F5637">
      <w:pPr>
        <w:ind w:left="851"/>
        <w:rPr>
          <w:sz w:val="24"/>
          <w:szCs w:val="24"/>
        </w:rPr>
      </w:pPr>
      <w:r w:rsidRPr="001F38C9">
        <w:rPr>
          <w:sz w:val="24"/>
          <w:szCs w:val="24"/>
        </w:rPr>
        <w:t>Tabletten kan deles i 2 eller 4 lige store dele.</w:t>
      </w:r>
    </w:p>
    <w:p w:rsidR="008203A8" w:rsidRDefault="008203A8" w:rsidP="008203A8">
      <w:pPr>
        <w:ind w:left="851"/>
        <w:rPr>
          <w:sz w:val="24"/>
          <w:szCs w:val="24"/>
        </w:rPr>
      </w:pPr>
    </w:p>
    <w:p w:rsidR="008203A8" w:rsidRPr="008509BB" w:rsidRDefault="008203A8" w:rsidP="008203A8">
      <w:pPr>
        <w:ind w:left="851"/>
        <w:rPr>
          <w:sz w:val="24"/>
          <w:szCs w:val="24"/>
        </w:rPr>
      </w:pPr>
    </w:p>
    <w:p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rsidR="008203A8" w:rsidRPr="00406EE7" w:rsidRDefault="00D43378" w:rsidP="008203A8">
      <w:pPr>
        <w:ind w:left="851"/>
        <w:rPr>
          <w:sz w:val="24"/>
          <w:szCs w:val="24"/>
        </w:rPr>
      </w:pPr>
      <w:r>
        <w:rPr>
          <w:sz w:val="24"/>
          <w:szCs w:val="24"/>
        </w:rPr>
        <w:t>Hund</w:t>
      </w:r>
    </w:p>
    <w:p w:rsidR="008203A8" w:rsidRPr="00406EE7" w:rsidRDefault="008203A8" w:rsidP="008203A8">
      <w:pPr>
        <w:ind w:left="851"/>
        <w:rPr>
          <w:sz w:val="24"/>
          <w:szCs w:val="24"/>
        </w:rPr>
      </w:pPr>
    </w:p>
    <w:p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rsidR="005A02E2" w:rsidRDefault="00D43378" w:rsidP="00D43378">
      <w:pPr>
        <w:pStyle w:val="Sidehoved"/>
        <w:ind w:left="851"/>
        <w:rPr>
          <w:szCs w:val="24"/>
        </w:rPr>
      </w:pPr>
      <w:r w:rsidRPr="00D43378">
        <w:rPr>
          <w:szCs w:val="24"/>
        </w:rPr>
        <w:t>Til forbedring af perifer og cerebral vaskulær blodcirkulation.</w:t>
      </w:r>
    </w:p>
    <w:p w:rsidR="00D43378" w:rsidRPr="00D43378" w:rsidRDefault="00D43378" w:rsidP="00D43378">
      <w:pPr>
        <w:pStyle w:val="Sidehoved"/>
        <w:ind w:left="851"/>
        <w:rPr>
          <w:szCs w:val="24"/>
        </w:rPr>
      </w:pPr>
      <w:r w:rsidRPr="00D43378">
        <w:rPr>
          <w:szCs w:val="24"/>
        </w:rPr>
        <w:t>Til forbedring af sløvhed, letargi og generel fremtoning hos hunde.</w:t>
      </w:r>
    </w:p>
    <w:p w:rsidR="008203A8" w:rsidRDefault="008203A8" w:rsidP="008203A8">
      <w:pPr>
        <w:pStyle w:val="Sidehoved"/>
        <w:ind w:left="851"/>
        <w:rPr>
          <w:szCs w:val="24"/>
        </w:rPr>
      </w:pPr>
    </w:p>
    <w:p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rsidR="005A02E2" w:rsidRPr="005A02E2" w:rsidRDefault="005A02E2" w:rsidP="005A02E2">
      <w:pPr>
        <w:pStyle w:val="Sidehoved"/>
        <w:ind w:left="851"/>
        <w:rPr>
          <w:szCs w:val="24"/>
        </w:rPr>
      </w:pPr>
      <w:r w:rsidRPr="005A02E2">
        <w:rPr>
          <w:szCs w:val="24"/>
        </w:rPr>
        <w:t>Der henvises til pkt. 3.7.</w:t>
      </w:r>
    </w:p>
    <w:p w:rsidR="005A02E2" w:rsidRPr="005A02E2" w:rsidRDefault="005A02E2" w:rsidP="005A02E2">
      <w:pPr>
        <w:pStyle w:val="Sidehoved"/>
        <w:ind w:left="851"/>
        <w:rPr>
          <w:szCs w:val="24"/>
        </w:rPr>
      </w:pPr>
      <w:r w:rsidRPr="005A02E2">
        <w:rPr>
          <w:szCs w:val="24"/>
        </w:rPr>
        <w:t>Må ikke anvendes til hunde, der vejer mindre end 2,5 kg.</w:t>
      </w:r>
    </w:p>
    <w:p w:rsidR="005A02E2" w:rsidRPr="005A02E2" w:rsidRDefault="005A02E2" w:rsidP="005A02E2">
      <w:pPr>
        <w:pStyle w:val="Sidehoved"/>
        <w:ind w:left="851"/>
        <w:rPr>
          <w:szCs w:val="24"/>
        </w:rPr>
      </w:pPr>
      <w:r w:rsidRPr="005A02E2">
        <w:rPr>
          <w:szCs w:val="24"/>
        </w:rPr>
        <w:t>Må ikke anvendes i tilfælde af overfølsomhed over for det aktive stof eller over for et eller flere af hjælpestofferne.</w:t>
      </w:r>
    </w:p>
    <w:p w:rsidR="008203A8" w:rsidRPr="00406EE7" w:rsidRDefault="008203A8" w:rsidP="008203A8">
      <w:pPr>
        <w:pStyle w:val="Sidehoved"/>
        <w:tabs>
          <w:tab w:val="clear" w:pos="4819"/>
        </w:tabs>
        <w:ind w:left="851"/>
        <w:rPr>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rsidR="008203A8" w:rsidRPr="00406EE7" w:rsidRDefault="005A02E2" w:rsidP="008203A8">
      <w:pPr>
        <w:tabs>
          <w:tab w:val="left" w:pos="851"/>
        </w:tabs>
        <w:ind w:left="851"/>
        <w:rPr>
          <w:sz w:val="24"/>
          <w:szCs w:val="24"/>
        </w:rPr>
      </w:pPr>
      <w:r>
        <w:rPr>
          <w:sz w:val="24"/>
          <w:szCs w:val="24"/>
        </w:rPr>
        <w:t>Ingen</w:t>
      </w:r>
    </w:p>
    <w:p w:rsidR="008203A8" w:rsidRPr="00406EE7" w:rsidRDefault="008203A8" w:rsidP="008203A8">
      <w:pPr>
        <w:pStyle w:val="Sidehoved"/>
        <w:tabs>
          <w:tab w:val="clear" w:pos="4819"/>
        </w:tabs>
        <w:ind w:left="851"/>
        <w:rPr>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rsidR="008203A8" w:rsidRPr="002374DA" w:rsidRDefault="008203A8" w:rsidP="008203A8">
      <w:pPr>
        <w:tabs>
          <w:tab w:val="left" w:pos="851"/>
        </w:tabs>
        <w:ind w:left="851"/>
        <w:rPr>
          <w:sz w:val="24"/>
          <w:szCs w:val="24"/>
        </w:rPr>
      </w:pPr>
    </w:p>
    <w:p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rsidR="005A02E2" w:rsidRPr="005A02E2" w:rsidRDefault="005A02E2" w:rsidP="005A02E2">
      <w:pPr>
        <w:tabs>
          <w:tab w:val="left" w:pos="851"/>
        </w:tabs>
        <w:ind w:left="851"/>
        <w:rPr>
          <w:sz w:val="24"/>
          <w:szCs w:val="24"/>
        </w:rPr>
      </w:pPr>
      <w:r w:rsidRPr="005A02E2">
        <w:rPr>
          <w:sz w:val="24"/>
          <w:szCs w:val="24"/>
        </w:rPr>
        <w:t>Specifikke sygdomme (f.eks. nyresygdom) skal behandles i overensstemmelse hermed.</w:t>
      </w:r>
    </w:p>
    <w:p w:rsidR="005A02E2" w:rsidRPr="005A02E2" w:rsidRDefault="005A02E2" w:rsidP="005A02E2">
      <w:pPr>
        <w:tabs>
          <w:tab w:val="left" w:pos="851"/>
        </w:tabs>
        <w:ind w:left="851"/>
        <w:rPr>
          <w:sz w:val="24"/>
          <w:szCs w:val="24"/>
        </w:rPr>
      </w:pPr>
      <w:r w:rsidRPr="005A02E2">
        <w:rPr>
          <w:sz w:val="24"/>
          <w:szCs w:val="24"/>
        </w:rPr>
        <w:t>Det bør overvejes at rationere medicinering hos hunde, der allerede får behandling for kongestiv hjerteinsufficiens eller bronkial sygdom.</w:t>
      </w:r>
    </w:p>
    <w:p w:rsidR="005A02E2" w:rsidRPr="005A02E2" w:rsidRDefault="005A02E2" w:rsidP="005A02E2">
      <w:pPr>
        <w:tabs>
          <w:tab w:val="left" w:pos="851"/>
        </w:tabs>
        <w:ind w:left="851"/>
        <w:rPr>
          <w:sz w:val="24"/>
          <w:szCs w:val="24"/>
        </w:rPr>
      </w:pPr>
      <w:r w:rsidRPr="005A02E2">
        <w:rPr>
          <w:sz w:val="24"/>
          <w:szCs w:val="24"/>
        </w:rPr>
        <w:t>I tilfælde af nyresvigt skal dosis reduceres.</w:t>
      </w:r>
    </w:p>
    <w:p w:rsidR="008203A8" w:rsidRPr="00406EE7" w:rsidRDefault="008203A8" w:rsidP="008203A8">
      <w:pPr>
        <w:tabs>
          <w:tab w:val="left" w:pos="851"/>
        </w:tabs>
        <w:ind w:left="851"/>
        <w:rPr>
          <w:sz w:val="24"/>
          <w:szCs w:val="24"/>
        </w:rPr>
      </w:pPr>
    </w:p>
    <w:p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rsidR="005A02E2" w:rsidRPr="005A02E2" w:rsidRDefault="005A02E2" w:rsidP="005A02E2">
      <w:pPr>
        <w:tabs>
          <w:tab w:val="left" w:pos="851"/>
        </w:tabs>
        <w:ind w:left="851"/>
        <w:rPr>
          <w:sz w:val="24"/>
          <w:szCs w:val="24"/>
        </w:rPr>
      </w:pPr>
      <w:r w:rsidRPr="005A02E2">
        <w:rPr>
          <w:sz w:val="24"/>
          <w:szCs w:val="24"/>
        </w:rPr>
        <w:t>Der bør udvises forsigtighed for at undgå utilsigtet indtagelse ved hændeligt uheld.</w:t>
      </w:r>
    </w:p>
    <w:p w:rsidR="005A02E2" w:rsidRPr="005A02E2" w:rsidRDefault="005A02E2" w:rsidP="005A02E2">
      <w:pPr>
        <w:tabs>
          <w:tab w:val="left" w:pos="851"/>
        </w:tabs>
        <w:ind w:left="851"/>
        <w:rPr>
          <w:sz w:val="24"/>
          <w:szCs w:val="24"/>
        </w:rPr>
      </w:pPr>
      <w:r w:rsidRPr="005A02E2">
        <w:rPr>
          <w:sz w:val="24"/>
          <w:szCs w:val="24"/>
        </w:rPr>
        <w:t>I tilfælde af utilsigtet indtagelse skal der straks søges lægehjælp, og indlægssedlen eller etiketten bør vises til lægen.</w:t>
      </w:r>
    </w:p>
    <w:p w:rsidR="005A02E2" w:rsidRPr="005A02E2" w:rsidRDefault="005A02E2" w:rsidP="005A02E2">
      <w:pPr>
        <w:tabs>
          <w:tab w:val="left" w:pos="851"/>
        </w:tabs>
        <w:ind w:left="851"/>
        <w:rPr>
          <w:sz w:val="24"/>
          <w:szCs w:val="24"/>
        </w:rPr>
      </w:pPr>
      <w:r w:rsidRPr="005A02E2">
        <w:rPr>
          <w:sz w:val="24"/>
          <w:szCs w:val="24"/>
        </w:rPr>
        <w:t>Vask hænder efter anvendelse.</w:t>
      </w:r>
    </w:p>
    <w:p w:rsidR="008203A8" w:rsidRDefault="008203A8" w:rsidP="008203A8">
      <w:pPr>
        <w:tabs>
          <w:tab w:val="left" w:pos="851"/>
        </w:tabs>
        <w:ind w:left="851"/>
        <w:rPr>
          <w:sz w:val="24"/>
          <w:szCs w:val="24"/>
        </w:rPr>
      </w:pPr>
    </w:p>
    <w:p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rsidR="008203A8" w:rsidRPr="002E304C" w:rsidRDefault="005A02E2" w:rsidP="008203A8">
      <w:pPr>
        <w:tabs>
          <w:tab w:val="left" w:pos="851"/>
        </w:tabs>
        <w:ind w:left="851"/>
        <w:rPr>
          <w:sz w:val="24"/>
          <w:szCs w:val="24"/>
        </w:rPr>
      </w:pPr>
      <w:r>
        <w:rPr>
          <w:sz w:val="24"/>
          <w:szCs w:val="24"/>
        </w:rPr>
        <w:t>Ikke relevant.</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rsidR="00E16209" w:rsidRPr="00E16209" w:rsidRDefault="00E16209" w:rsidP="00E16209">
      <w:pPr>
        <w:tabs>
          <w:tab w:val="left" w:pos="851"/>
        </w:tabs>
        <w:ind w:left="851"/>
        <w:rPr>
          <w:sz w:val="24"/>
          <w:szCs w:val="24"/>
        </w:rPr>
      </w:pPr>
    </w:p>
    <w:p w:rsidR="00E16209" w:rsidRPr="00E16209" w:rsidRDefault="00E16209" w:rsidP="00E16209">
      <w:pPr>
        <w:tabs>
          <w:tab w:val="left" w:pos="851"/>
        </w:tabs>
        <w:ind w:left="851"/>
        <w:rPr>
          <w:sz w:val="24"/>
          <w:szCs w:val="24"/>
          <w:u w:val="single"/>
        </w:rPr>
      </w:pPr>
      <w:r w:rsidRPr="00E16209">
        <w:rPr>
          <w:sz w:val="24"/>
          <w:szCs w:val="24"/>
          <w:u w:val="single"/>
        </w:rPr>
        <w:t>Hund</w:t>
      </w:r>
    </w:p>
    <w:p w:rsidR="00E16209" w:rsidRPr="00E16209" w:rsidRDefault="00E16209" w:rsidP="00E16209">
      <w:pPr>
        <w:tabs>
          <w:tab w:val="left" w:pos="851"/>
        </w:tabs>
        <w:ind w:left="851"/>
        <w:rPr>
          <w:sz w:val="24"/>
          <w:szCs w:val="24"/>
        </w:rPr>
      </w:pPr>
    </w:p>
    <w:tbl>
      <w:tblPr>
        <w:tblW w:w="500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860"/>
      </w:tblGrid>
      <w:tr w:rsidR="00E16209" w:rsidRPr="00E16209" w:rsidTr="00E16209">
        <w:tc>
          <w:tcPr>
            <w:tcW w:w="1957" w:type="pct"/>
            <w:tcBorders>
              <w:top w:val="single" w:sz="4" w:space="0" w:color="auto"/>
              <w:left w:val="single" w:sz="4" w:space="0" w:color="auto"/>
              <w:bottom w:val="single" w:sz="4" w:space="0" w:color="auto"/>
              <w:right w:val="single" w:sz="4" w:space="0" w:color="auto"/>
            </w:tcBorders>
            <w:hideMark/>
          </w:tcPr>
          <w:p w:rsidR="00E16209" w:rsidRPr="00E16209" w:rsidRDefault="00E16209" w:rsidP="00E16209">
            <w:pPr>
              <w:ind w:left="33"/>
              <w:rPr>
                <w:sz w:val="24"/>
                <w:szCs w:val="24"/>
              </w:rPr>
            </w:pPr>
            <w:r w:rsidRPr="00E16209">
              <w:rPr>
                <w:sz w:val="24"/>
                <w:szCs w:val="24"/>
              </w:rPr>
              <w:t>Sjælden</w:t>
            </w:r>
          </w:p>
          <w:p w:rsidR="00E16209" w:rsidRPr="00E16209" w:rsidRDefault="00E16209" w:rsidP="00E16209">
            <w:pPr>
              <w:ind w:left="33"/>
              <w:rPr>
                <w:sz w:val="24"/>
                <w:szCs w:val="24"/>
              </w:rPr>
            </w:pPr>
            <w:r w:rsidRPr="00E16209">
              <w:rPr>
                <w:sz w:val="24"/>
                <w:szCs w:val="24"/>
              </w:rPr>
              <w:t>(1 til 10 dyr ud af 10 000 behandlede dyr)</w:t>
            </w:r>
          </w:p>
        </w:tc>
        <w:tc>
          <w:tcPr>
            <w:tcW w:w="3043" w:type="pct"/>
            <w:tcBorders>
              <w:top w:val="single" w:sz="4" w:space="0" w:color="auto"/>
              <w:left w:val="single" w:sz="4" w:space="0" w:color="auto"/>
              <w:bottom w:val="single" w:sz="4" w:space="0" w:color="auto"/>
              <w:right w:val="single" w:sz="4" w:space="0" w:color="auto"/>
            </w:tcBorders>
          </w:tcPr>
          <w:p w:rsidR="00E16209" w:rsidRPr="00E16209" w:rsidRDefault="00E16209" w:rsidP="00E16209">
            <w:pPr>
              <w:rPr>
                <w:iCs/>
                <w:sz w:val="24"/>
                <w:szCs w:val="24"/>
              </w:rPr>
            </w:pPr>
            <w:r w:rsidRPr="00E16209">
              <w:rPr>
                <w:iCs/>
                <w:sz w:val="24"/>
                <w:szCs w:val="24"/>
              </w:rPr>
              <w:t xml:space="preserve">Allergiske hudreaktioner*, opkastning*, hjerteforstyrrelse* </w:t>
            </w:r>
          </w:p>
          <w:p w:rsidR="00E16209" w:rsidRPr="00E16209" w:rsidRDefault="00E16209" w:rsidP="00E16209">
            <w:pPr>
              <w:tabs>
                <w:tab w:val="left" w:pos="851"/>
              </w:tabs>
              <w:ind w:left="851"/>
              <w:rPr>
                <w:iCs/>
                <w:sz w:val="24"/>
                <w:szCs w:val="24"/>
              </w:rPr>
            </w:pPr>
          </w:p>
        </w:tc>
      </w:tr>
    </w:tbl>
    <w:p w:rsidR="00E16209" w:rsidRPr="00E16209" w:rsidRDefault="00E16209" w:rsidP="00E16209">
      <w:pPr>
        <w:tabs>
          <w:tab w:val="left" w:pos="851"/>
        </w:tabs>
        <w:ind w:left="851"/>
        <w:rPr>
          <w:sz w:val="24"/>
          <w:szCs w:val="24"/>
        </w:rPr>
      </w:pPr>
      <w:bookmarkStart w:id="0" w:name="_Hlk66891708"/>
      <w:r w:rsidRPr="00E16209">
        <w:rPr>
          <w:sz w:val="24"/>
          <w:szCs w:val="24"/>
        </w:rPr>
        <w:t>*</w:t>
      </w:r>
      <w:r w:rsidRPr="00E16209">
        <w:rPr>
          <w:iCs/>
          <w:sz w:val="24"/>
          <w:szCs w:val="24"/>
        </w:rPr>
        <w:t>I disse tilfælde skal behandlingen standses.</w:t>
      </w:r>
    </w:p>
    <w:bookmarkEnd w:id="0"/>
    <w:p w:rsidR="00E16209" w:rsidRPr="00E16209" w:rsidRDefault="00E16209" w:rsidP="00E16209">
      <w:pPr>
        <w:tabs>
          <w:tab w:val="left" w:pos="851"/>
        </w:tabs>
        <w:ind w:left="851"/>
        <w:rPr>
          <w:sz w:val="24"/>
          <w:szCs w:val="24"/>
        </w:rPr>
      </w:pPr>
    </w:p>
    <w:p w:rsidR="00E16209" w:rsidRPr="00E16209" w:rsidRDefault="00E16209" w:rsidP="00E16209">
      <w:pPr>
        <w:tabs>
          <w:tab w:val="left" w:pos="851"/>
        </w:tabs>
        <w:ind w:left="851"/>
        <w:rPr>
          <w:sz w:val="24"/>
          <w:szCs w:val="24"/>
        </w:rPr>
      </w:pPr>
      <w:r w:rsidRPr="00E16209">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 </w:t>
      </w:r>
    </w:p>
    <w:p w:rsidR="00E16209" w:rsidRPr="00406EE7" w:rsidRDefault="00E16209"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 xml:space="preserve">Anvendelse under drægtighed, </w:t>
      </w:r>
      <w:r w:rsidR="00CB43DB">
        <w:rPr>
          <w:b/>
          <w:sz w:val="24"/>
          <w:szCs w:val="24"/>
        </w:rPr>
        <w:t>laktation</w:t>
      </w:r>
      <w:r w:rsidRPr="00131D7A">
        <w:rPr>
          <w:b/>
          <w:sz w:val="24"/>
          <w:szCs w:val="24"/>
        </w:rPr>
        <w:t xml:space="preserve"> eller æglægning</w:t>
      </w:r>
    </w:p>
    <w:p w:rsidR="004B795E" w:rsidRPr="004B795E" w:rsidRDefault="004B795E" w:rsidP="004B795E">
      <w:pPr>
        <w:tabs>
          <w:tab w:val="left" w:pos="851"/>
        </w:tabs>
        <w:ind w:left="851"/>
        <w:rPr>
          <w:sz w:val="24"/>
          <w:szCs w:val="24"/>
        </w:rPr>
      </w:pPr>
      <w:r w:rsidRPr="004B795E">
        <w:rPr>
          <w:sz w:val="24"/>
          <w:szCs w:val="24"/>
        </w:rPr>
        <w:t xml:space="preserve">Veterinærlægemidlets sikkerhed under drægtighed og </w:t>
      </w:r>
      <w:r w:rsidR="008B394F">
        <w:rPr>
          <w:sz w:val="24"/>
          <w:szCs w:val="24"/>
        </w:rPr>
        <w:t>diegivning</w:t>
      </w:r>
      <w:r w:rsidRPr="004B795E">
        <w:rPr>
          <w:sz w:val="24"/>
          <w:szCs w:val="24"/>
        </w:rPr>
        <w:t xml:space="preserve"> er ikke fastlagt. Må ikke anvendes til drægtige eller diegivende tæver eller avlsdyr.</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rsidR="008203A8" w:rsidRPr="00406EE7" w:rsidRDefault="00956B89" w:rsidP="008203A8">
      <w:pPr>
        <w:tabs>
          <w:tab w:val="left" w:pos="851"/>
        </w:tabs>
        <w:ind w:left="851"/>
        <w:rPr>
          <w:sz w:val="24"/>
          <w:szCs w:val="24"/>
        </w:rPr>
      </w:pPr>
      <w:r>
        <w:rPr>
          <w:sz w:val="24"/>
          <w:szCs w:val="24"/>
        </w:rPr>
        <w:t>Ingen kendte.</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rsidR="00956B89" w:rsidRPr="00956B89" w:rsidRDefault="00956B89" w:rsidP="00956B89">
      <w:pPr>
        <w:tabs>
          <w:tab w:val="left" w:pos="851"/>
        </w:tabs>
        <w:ind w:left="851"/>
        <w:rPr>
          <w:iCs/>
          <w:sz w:val="24"/>
          <w:szCs w:val="24"/>
        </w:rPr>
      </w:pPr>
      <w:r w:rsidRPr="00956B89">
        <w:rPr>
          <w:iCs/>
          <w:sz w:val="24"/>
          <w:szCs w:val="24"/>
        </w:rPr>
        <w:t xml:space="preserve">Basisdosis er 6-10 mg propentofyllin/kg legemsvægt </w:t>
      </w:r>
      <w:r w:rsidR="00EE1A3E">
        <w:rPr>
          <w:iCs/>
          <w:sz w:val="24"/>
          <w:szCs w:val="24"/>
        </w:rPr>
        <w:t>daglig</w:t>
      </w:r>
      <w:r w:rsidRPr="00956B89">
        <w:rPr>
          <w:iCs/>
          <w:sz w:val="24"/>
          <w:szCs w:val="24"/>
        </w:rPr>
        <w:t xml:space="preserve"> fordelt i to 3-5 mg/kg doser som følger:</w:t>
      </w:r>
    </w:p>
    <w:p w:rsidR="00956B89" w:rsidRPr="00956B89" w:rsidRDefault="00956B89" w:rsidP="00956B89">
      <w:pPr>
        <w:tabs>
          <w:tab w:val="left" w:pos="851"/>
        </w:tabs>
        <w:ind w:left="851"/>
        <w:rPr>
          <w:iCs/>
          <w:sz w:val="24"/>
          <w:szCs w:val="24"/>
        </w:rPr>
      </w:pPr>
    </w:p>
    <w:tbl>
      <w:tblPr>
        <w:tblW w:w="7715" w:type="dxa"/>
        <w:tblInd w:w="841" w:type="dxa"/>
        <w:tblLook w:val="04A0" w:firstRow="1" w:lastRow="0" w:firstColumn="1" w:lastColumn="0" w:noHBand="0" w:noVBand="1"/>
      </w:tblPr>
      <w:tblGrid>
        <w:gridCol w:w="1876"/>
        <w:gridCol w:w="1491"/>
        <w:gridCol w:w="1283"/>
        <w:gridCol w:w="1564"/>
        <w:gridCol w:w="1501"/>
      </w:tblGrid>
      <w:tr w:rsidR="00956B89" w:rsidRPr="00650666" w:rsidTr="00956B89">
        <w:trPr>
          <w:trHeight w:val="397"/>
        </w:trPr>
        <w:tc>
          <w:tcPr>
            <w:tcW w:w="1876" w:type="dxa"/>
            <w:vMerge w:val="restart"/>
            <w:tcBorders>
              <w:top w:val="single" w:sz="8" w:space="0" w:color="auto"/>
              <w:left w:val="single" w:sz="8" w:space="0" w:color="auto"/>
              <w:bottom w:val="single" w:sz="8" w:space="0" w:color="000000"/>
              <w:right w:val="single" w:sz="8" w:space="0" w:color="auto"/>
            </w:tcBorders>
            <w:vAlign w:val="center"/>
            <w:hideMark/>
          </w:tcPr>
          <w:p w:rsidR="00956B89" w:rsidRPr="00650666" w:rsidRDefault="00956B89" w:rsidP="00956B89">
            <w:pPr>
              <w:rPr>
                <w:b/>
                <w:bCs/>
                <w:sz w:val="24"/>
                <w:szCs w:val="24"/>
              </w:rPr>
            </w:pPr>
            <w:r w:rsidRPr="00650666">
              <w:rPr>
                <w:b/>
                <w:bCs/>
                <w:sz w:val="24"/>
                <w:szCs w:val="24"/>
              </w:rPr>
              <w:t>Legemsvægt (kg)</w:t>
            </w:r>
          </w:p>
        </w:tc>
        <w:tc>
          <w:tcPr>
            <w:tcW w:w="2774" w:type="dxa"/>
            <w:gridSpan w:val="2"/>
            <w:tcBorders>
              <w:top w:val="single" w:sz="8" w:space="0" w:color="auto"/>
              <w:left w:val="nil"/>
              <w:bottom w:val="single" w:sz="8" w:space="0" w:color="auto"/>
              <w:right w:val="single" w:sz="8" w:space="0" w:color="000000"/>
            </w:tcBorders>
            <w:vAlign w:val="center"/>
            <w:hideMark/>
          </w:tcPr>
          <w:p w:rsidR="00956B89" w:rsidRPr="00650666" w:rsidRDefault="00956B89" w:rsidP="00956B89">
            <w:pPr>
              <w:ind w:left="234"/>
              <w:rPr>
                <w:b/>
                <w:bCs/>
                <w:sz w:val="24"/>
                <w:szCs w:val="24"/>
              </w:rPr>
            </w:pPr>
            <w:r w:rsidRPr="00650666">
              <w:rPr>
                <w:b/>
                <w:bCs/>
                <w:sz w:val="24"/>
                <w:szCs w:val="24"/>
              </w:rPr>
              <w:t>Tabletter</w:t>
            </w:r>
          </w:p>
        </w:tc>
        <w:tc>
          <w:tcPr>
            <w:tcW w:w="1564" w:type="dxa"/>
            <w:vMerge w:val="restart"/>
            <w:tcBorders>
              <w:top w:val="single" w:sz="8" w:space="0" w:color="auto"/>
              <w:left w:val="nil"/>
              <w:bottom w:val="single" w:sz="8" w:space="0" w:color="auto"/>
              <w:right w:val="single" w:sz="8" w:space="0" w:color="auto"/>
            </w:tcBorders>
            <w:vAlign w:val="center"/>
            <w:hideMark/>
          </w:tcPr>
          <w:p w:rsidR="00956B89" w:rsidRPr="00650666" w:rsidRDefault="00956B89" w:rsidP="00650666">
            <w:pPr>
              <w:rPr>
                <w:b/>
                <w:bCs/>
                <w:sz w:val="24"/>
                <w:szCs w:val="24"/>
              </w:rPr>
            </w:pPr>
            <w:r w:rsidRPr="00650666">
              <w:rPr>
                <w:b/>
                <w:bCs/>
                <w:sz w:val="24"/>
                <w:szCs w:val="24"/>
              </w:rPr>
              <w:t>Daglig samlet antal</w:t>
            </w:r>
          </w:p>
          <w:p w:rsidR="00956B89" w:rsidRPr="00650666" w:rsidRDefault="00956B89" w:rsidP="00650666">
            <w:pPr>
              <w:rPr>
                <w:b/>
                <w:bCs/>
                <w:sz w:val="24"/>
                <w:szCs w:val="24"/>
              </w:rPr>
            </w:pPr>
            <w:r w:rsidRPr="00650666">
              <w:rPr>
                <w:b/>
                <w:bCs/>
                <w:sz w:val="24"/>
                <w:szCs w:val="24"/>
              </w:rPr>
              <w:t>tabletter</w:t>
            </w:r>
          </w:p>
        </w:tc>
        <w:tc>
          <w:tcPr>
            <w:tcW w:w="1501" w:type="dxa"/>
            <w:vMerge w:val="restart"/>
            <w:tcBorders>
              <w:top w:val="single" w:sz="8" w:space="0" w:color="auto"/>
              <w:left w:val="nil"/>
              <w:bottom w:val="single" w:sz="8" w:space="0" w:color="auto"/>
              <w:right w:val="single" w:sz="8" w:space="0" w:color="auto"/>
            </w:tcBorders>
            <w:vAlign w:val="center"/>
            <w:hideMark/>
          </w:tcPr>
          <w:p w:rsidR="00956B89" w:rsidRPr="00650666" w:rsidRDefault="00956B89" w:rsidP="00650666">
            <w:pPr>
              <w:rPr>
                <w:b/>
                <w:bCs/>
                <w:sz w:val="24"/>
                <w:szCs w:val="24"/>
              </w:rPr>
            </w:pPr>
            <w:r w:rsidRPr="00650666">
              <w:rPr>
                <w:b/>
                <w:bCs/>
                <w:sz w:val="24"/>
                <w:szCs w:val="24"/>
              </w:rPr>
              <w:t>Daglig samlet dosis (mg/kg)</w:t>
            </w:r>
          </w:p>
        </w:tc>
      </w:tr>
      <w:tr w:rsidR="00956B89" w:rsidRPr="00956B89" w:rsidTr="00956B89">
        <w:trPr>
          <w:trHeight w:val="417"/>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56B89" w:rsidRPr="00956B89" w:rsidRDefault="00956B89" w:rsidP="00956B89">
            <w:pPr>
              <w:rPr>
                <w:b/>
                <w:bCs/>
                <w:sz w:val="24"/>
                <w:szCs w:val="24"/>
                <w:u w:val="single"/>
              </w:rPr>
            </w:pPr>
          </w:p>
        </w:tc>
        <w:tc>
          <w:tcPr>
            <w:tcW w:w="1491" w:type="dxa"/>
            <w:tcBorders>
              <w:top w:val="nil"/>
              <w:left w:val="nil"/>
              <w:bottom w:val="single" w:sz="8" w:space="0" w:color="auto"/>
              <w:right w:val="single" w:sz="8" w:space="0" w:color="auto"/>
            </w:tcBorders>
            <w:vAlign w:val="center"/>
            <w:hideMark/>
          </w:tcPr>
          <w:p w:rsidR="00956B89" w:rsidRPr="00650666" w:rsidRDefault="00956B89" w:rsidP="00956B89">
            <w:pPr>
              <w:ind w:left="234"/>
              <w:rPr>
                <w:b/>
                <w:bCs/>
                <w:sz w:val="24"/>
                <w:szCs w:val="24"/>
              </w:rPr>
            </w:pPr>
            <w:r w:rsidRPr="00650666">
              <w:rPr>
                <w:b/>
                <w:bCs/>
                <w:sz w:val="24"/>
                <w:szCs w:val="24"/>
              </w:rPr>
              <w:t>morgen</w:t>
            </w:r>
          </w:p>
        </w:tc>
        <w:tc>
          <w:tcPr>
            <w:tcW w:w="1283" w:type="dxa"/>
            <w:tcBorders>
              <w:top w:val="nil"/>
              <w:left w:val="nil"/>
              <w:bottom w:val="single" w:sz="8" w:space="0" w:color="auto"/>
              <w:right w:val="single" w:sz="8" w:space="0" w:color="auto"/>
            </w:tcBorders>
            <w:vAlign w:val="center"/>
            <w:hideMark/>
          </w:tcPr>
          <w:p w:rsidR="00956B89" w:rsidRPr="00650666" w:rsidRDefault="00956B89" w:rsidP="00956B89">
            <w:pPr>
              <w:ind w:left="234"/>
              <w:rPr>
                <w:b/>
                <w:bCs/>
                <w:sz w:val="24"/>
                <w:szCs w:val="24"/>
              </w:rPr>
            </w:pPr>
            <w:r w:rsidRPr="00650666">
              <w:rPr>
                <w:b/>
                <w:bCs/>
                <w:sz w:val="24"/>
                <w:szCs w:val="24"/>
              </w:rPr>
              <w:t>aften</w:t>
            </w:r>
          </w:p>
        </w:tc>
        <w:tc>
          <w:tcPr>
            <w:tcW w:w="0" w:type="auto"/>
            <w:vMerge/>
            <w:tcBorders>
              <w:top w:val="single" w:sz="8" w:space="0" w:color="auto"/>
              <w:left w:val="nil"/>
              <w:bottom w:val="single" w:sz="8" w:space="0" w:color="auto"/>
              <w:right w:val="single" w:sz="8" w:space="0" w:color="auto"/>
            </w:tcBorders>
            <w:vAlign w:val="center"/>
            <w:hideMark/>
          </w:tcPr>
          <w:p w:rsidR="00956B89" w:rsidRPr="00956B89" w:rsidRDefault="00956B89" w:rsidP="00956B89">
            <w:pPr>
              <w:tabs>
                <w:tab w:val="left" w:pos="851"/>
              </w:tabs>
              <w:ind w:left="851"/>
              <w:rPr>
                <w:b/>
                <w:bCs/>
                <w:sz w:val="24"/>
                <w:szCs w:val="24"/>
                <w:u w:val="single"/>
              </w:rPr>
            </w:pPr>
          </w:p>
        </w:tc>
        <w:tc>
          <w:tcPr>
            <w:tcW w:w="0" w:type="auto"/>
            <w:vMerge/>
            <w:tcBorders>
              <w:top w:val="single" w:sz="8" w:space="0" w:color="auto"/>
              <w:left w:val="nil"/>
              <w:bottom w:val="single" w:sz="8" w:space="0" w:color="auto"/>
              <w:right w:val="single" w:sz="8" w:space="0" w:color="auto"/>
            </w:tcBorders>
            <w:vAlign w:val="center"/>
            <w:hideMark/>
          </w:tcPr>
          <w:p w:rsidR="00956B89" w:rsidRPr="00956B89" w:rsidRDefault="00956B89" w:rsidP="00956B89">
            <w:pPr>
              <w:tabs>
                <w:tab w:val="left" w:pos="851"/>
              </w:tabs>
              <w:ind w:left="851"/>
              <w:rPr>
                <w:b/>
                <w:bCs/>
                <w:sz w:val="24"/>
                <w:szCs w:val="24"/>
                <w:u w:val="single"/>
              </w:rPr>
            </w:pPr>
          </w:p>
        </w:tc>
      </w:tr>
      <w:tr w:rsidR="00956B89" w:rsidRPr="00956B89" w:rsidTr="00956B89">
        <w:trPr>
          <w:trHeight w:val="270"/>
        </w:trPr>
        <w:tc>
          <w:tcPr>
            <w:tcW w:w="1876" w:type="dxa"/>
            <w:tcBorders>
              <w:top w:val="nil"/>
              <w:left w:val="single" w:sz="8" w:space="0" w:color="auto"/>
              <w:bottom w:val="single" w:sz="8" w:space="0" w:color="auto"/>
              <w:right w:val="single" w:sz="8" w:space="0" w:color="auto"/>
            </w:tcBorders>
            <w:vAlign w:val="center"/>
            <w:hideMark/>
          </w:tcPr>
          <w:p w:rsidR="00956B89" w:rsidRPr="00956B89" w:rsidRDefault="00956B89" w:rsidP="00956B89">
            <w:pPr>
              <w:rPr>
                <w:sz w:val="24"/>
                <w:szCs w:val="24"/>
              </w:rPr>
            </w:pPr>
            <w:r w:rsidRPr="00956B89">
              <w:rPr>
                <w:sz w:val="24"/>
                <w:szCs w:val="24"/>
              </w:rPr>
              <w:t>2,5 - 4 kg</w:t>
            </w:r>
          </w:p>
        </w:tc>
        <w:tc>
          <w:tcPr>
            <w:tcW w:w="1491" w:type="dxa"/>
            <w:tcBorders>
              <w:top w:val="nil"/>
              <w:left w:val="nil"/>
              <w:bottom w:val="single" w:sz="8" w:space="0" w:color="auto"/>
              <w:right w:val="single" w:sz="8" w:space="0" w:color="auto"/>
            </w:tcBorders>
            <w:vAlign w:val="center"/>
            <w:hideMark/>
          </w:tcPr>
          <w:p w:rsidR="00956B89" w:rsidRPr="00956B89" w:rsidRDefault="00956B89" w:rsidP="00956B89">
            <w:pPr>
              <w:ind w:left="234"/>
              <w:rPr>
                <w:sz w:val="24"/>
                <w:szCs w:val="24"/>
              </w:rPr>
            </w:pPr>
            <w:r w:rsidRPr="00956B89">
              <w:rPr>
                <w:sz w:val="24"/>
                <w:szCs w:val="24"/>
                <w:vertAlign w:val="superscript"/>
              </w:rPr>
              <w:t>1</w:t>
            </w:r>
            <w:r w:rsidRPr="00956B89">
              <w:rPr>
                <w:sz w:val="24"/>
                <w:szCs w:val="24"/>
              </w:rPr>
              <w:t>/</w:t>
            </w:r>
            <w:r w:rsidRPr="00956B89">
              <w:rPr>
                <w:sz w:val="24"/>
                <w:szCs w:val="24"/>
                <w:vertAlign w:val="subscript"/>
              </w:rPr>
              <w:t>4</w:t>
            </w:r>
          </w:p>
        </w:tc>
        <w:tc>
          <w:tcPr>
            <w:tcW w:w="1283" w:type="dxa"/>
            <w:tcBorders>
              <w:top w:val="nil"/>
              <w:left w:val="nil"/>
              <w:bottom w:val="single" w:sz="8" w:space="0" w:color="auto"/>
              <w:right w:val="single" w:sz="8" w:space="0" w:color="auto"/>
            </w:tcBorders>
            <w:vAlign w:val="center"/>
            <w:hideMark/>
          </w:tcPr>
          <w:p w:rsidR="00956B89" w:rsidRPr="00956B89" w:rsidRDefault="00956B89" w:rsidP="00956B89">
            <w:pPr>
              <w:ind w:left="234"/>
              <w:rPr>
                <w:sz w:val="24"/>
                <w:szCs w:val="24"/>
              </w:rPr>
            </w:pPr>
            <w:r w:rsidRPr="00956B89">
              <w:rPr>
                <w:sz w:val="24"/>
                <w:szCs w:val="24"/>
                <w:vertAlign w:val="superscript"/>
              </w:rPr>
              <w:t>1</w:t>
            </w:r>
            <w:r w:rsidRPr="00956B89">
              <w:rPr>
                <w:sz w:val="24"/>
                <w:szCs w:val="24"/>
              </w:rPr>
              <w:t>/</w:t>
            </w:r>
            <w:r w:rsidRPr="00956B89">
              <w:rPr>
                <w:sz w:val="24"/>
                <w:szCs w:val="24"/>
                <w:vertAlign w:val="subscript"/>
              </w:rPr>
              <w:t>4</w:t>
            </w:r>
          </w:p>
        </w:tc>
        <w:tc>
          <w:tcPr>
            <w:tcW w:w="1564" w:type="dxa"/>
            <w:tcBorders>
              <w:top w:val="nil"/>
              <w:left w:val="nil"/>
              <w:bottom w:val="single" w:sz="8" w:space="0" w:color="auto"/>
              <w:right w:val="single" w:sz="8" w:space="0" w:color="auto"/>
            </w:tcBorders>
            <w:vAlign w:val="center"/>
            <w:hideMark/>
          </w:tcPr>
          <w:p w:rsidR="00956B89" w:rsidRPr="00956B89" w:rsidRDefault="00956B89" w:rsidP="00650666">
            <w:pPr>
              <w:tabs>
                <w:tab w:val="left" w:pos="851"/>
              </w:tabs>
              <w:rPr>
                <w:sz w:val="24"/>
                <w:szCs w:val="24"/>
              </w:rPr>
            </w:pPr>
            <w:r w:rsidRPr="00956B89">
              <w:rPr>
                <w:sz w:val="24"/>
                <w:szCs w:val="24"/>
              </w:rPr>
              <w:t>½</w:t>
            </w:r>
          </w:p>
        </w:tc>
        <w:tc>
          <w:tcPr>
            <w:tcW w:w="1501" w:type="dxa"/>
            <w:tcBorders>
              <w:top w:val="nil"/>
              <w:left w:val="nil"/>
              <w:bottom w:val="single" w:sz="8" w:space="0" w:color="auto"/>
              <w:right w:val="single" w:sz="8" w:space="0" w:color="auto"/>
            </w:tcBorders>
            <w:vAlign w:val="center"/>
            <w:hideMark/>
          </w:tcPr>
          <w:p w:rsidR="00956B89" w:rsidRPr="00956B89" w:rsidRDefault="00956B89" w:rsidP="00650666">
            <w:pPr>
              <w:ind w:left="60"/>
              <w:rPr>
                <w:sz w:val="24"/>
                <w:szCs w:val="24"/>
              </w:rPr>
            </w:pPr>
            <w:r w:rsidRPr="00956B89">
              <w:rPr>
                <w:sz w:val="24"/>
                <w:szCs w:val="24"/>
              </w:rPr>
              <w:t>6,3 - 10,0</w:t>
            </w:r>
          </w:p>
        </w:tc>
      </w:tr>
      <w:tr w:rsidR="00956B89" w:rsidRPr="00956B89" w:rsidTr="00956B89">
        <w:trPr>
          <w:trHeight w:val="270"/>
        </w:trPr>
        <w:tc>
          <w:tcPr>
            <w:tcW w:w="1876" w:type="dxa"/>
            <w:tcBorders>
              <w:top w:val="nil"/>
              <w:left w:val="single" w:sz="8" w:space="0" w:color="auto"/>
              <w:bottom w:val="single" w:sz="8" w:space="0" w:color="auto"/>
              <w:right w:val="single" w:sz="8" w:space="0" w:color="auto"/>
            </w:tcBorders>
            <w:vAlign w:val="center"/>
            <w:hideMark/>
          </w:tcPr>
          <w:p w:rsidR="00956B89" w:rsidRPr="00956B89" w:rsidRDefault="00956B89" w:rsidP="00956B89">
            <w:pPr>
              <w:rPr>
                <w:sz w:val="24"/>
                <w:szCs w:val="24"/>
              </w:rPr>
            </w:pPr>
            <w:r w:rsidRPr="00956B89">
              <w:rPr>
                <w:sz w:val="24"/>
                <w:szCs w:val="24"/>
              </w:rPr>
              <w:t>5 - 7 kg</w:t>
            </w:r>
          </w:p>
        </w:tc>
        <w:tc>
          <w:tcPr>
            <w:tcW w:w="1491" w:type="dxa"/>
            <w:tcBorders>
              <w:top w:val="nil"/>
              <w:left w:val="nil"/>
              <w:bottom w:val="single" w:sz="8" w:space="0" w:color="auto"/>
              <w:right w:val="single" w:sz="8" w:space="0" w:color="auto"/>
            </w:tcBorders>
            <w:vAlign w:val="center"/>
            <w:hideMark/>
          </w:tcPr>
          <w:p w:rsidR="00956B89" w:rsidRPr="00956B89" w:rsidRDefault="00956B89" w:rsidP="00956B89">
            <w:pPr>
              <w:ind w:left="234"/>
              <w:rPr>
                <w:sz w:val="24"/>
                <w:szCs w:val="24"/>
              </w:rPr>
            </w:pPr>
            <w:r w:rsidRPr="00956B89">
              <w:rPr>
                <w:sz w:val="24"/>
                <w:szCs w:val="24"/>
              </w:rPr>
              <w:t>½</w:t>
            </w:r>
          </w:p>
        </w:tc>
        <w:tc>
          <w:tcPr>
            <w:tcW w:w="1283" w:type="dxa"/>
            <w:tcBorders>
              <w:top w:val="nil"/>
              <w:left w:val="nil"/>
              <w:bottom w:val="single" w:sz="8" w:space="0" w:color="auto"/>
              <w:right w:val="single" w:sz="8" w:space="0" w:color="auto"/>
            </w:tcBorders>
            <w:vAlign w:val="center"/>
            <w:hideMark/>
          </w:tcPr>
          <w:p w:rsidR="00956B89" w:rsidRPr="00956B89" w:rsidRDefault="00956B89" w:rsidP="00956B89">
            <w:pPr>
              <w:ind w:left="234"/>
              <w:rPr>
                <w:sz w:val="24"/>
                <w:szCs w:val="24"/>
              </w:rPr>
            </w:pPr>
            <w:r w:rsidRPr="00956B89">
              <w:rPr>
                <w:sz w:val="24"/>
                <w:szCs w:val="24"/>
              </w:rPr>
              <w:t>½</w:t>
            </w:r>
          </w:p>
        </w:tc>
        <w:tc>
          <w:tcPr>
            <w:tcW w:w="1564" w:type="dxa"/>
            <w:tcBorders>
              <w:top w:val="nil"/>
              <w:left w:val="nil"/>
              <w:bottom w:val="single" w:sz="8" w:space="0" w:color="auto"/>
              <w:right w:val="single" w:sz="8" w:space="0" w:color="auto"/>
            </w:tcBorders>
            <w:vAlign w:val="center"/>
            <w:hideMark/>
          </w:tcPr>
          <w:p w:rsidR="00956B89" w:rsidRPr="00956B89" w:rsidRDefault="00956B89" w:rsidP="00650666">
            <w:pPr>
              <w:tabs>
                <w:tab w:val="left" w:pos="851"/>
              </w:tabs>
              <w:rPr>
                <w:sz w:val="24"/>
                <w:szCs w:val="24"/>
              </w:rPr>
            </w:pPr>
            <w:r w:rsidRPr="00956B89">
              <w:rPr>
                <w:sz w:val="24"/>
                <w:szCs w:val="24"/>
              </w:rPr>
              <w:t>1</w:t>
            </w:r>
          </w:p>
        </w:tc>
        <w:tc>
          <w:tcPr>
            <w:tcW w:w="1501" w:type="dxa"/>
            <w:tcBorders>
              <w:top w:val="nil"/>
              <w:left w:val="nil"/>
              <w:bottom w:val="single" w:sz="8" w:space="0" w:color="auto"/>
              <w:right w:val="single" w:sz="8" w:space="0" w:color="auto"/>
            </w:tcBorders>
            <w:vAlign w:val="center"/>
            <w:hideMark/>
          </w:tcPr>
          <w:p w:rsidR="00956B89" w:rsidRPr="00956B89" w:rsidRDefault="00956B89" w:rsidP="00650666">
            <w:pPr>
              <w:ind w:left="60"/>
              <w:rPr>
                <w:sz w:val="24"/>
                <w:szCs w:val="24"/>
              </w:rPr>
            </w:pPr>
            <w:r w:rsidRPr="00956B89">
              <w:rPr>
                <w:sz w:val="24"/>
                <w:szCs w:val="24"/>
              </w:rPr>
              <w:t>7,1 - 10,0</w:t>
            </w:r>
          </w:p>
        </w:tc>
      </w:tr>
      <w:tr w:rsidR="00956B89" w:rsidRPr="00956B89" w:rsidTr="00956B89">
        <w:trPr>
          <w:trHeight w:val="270"/>
        </w:trPr>
        <w:tc>
          <w:tcPr>
            <w:tcW w:w="1876" w:type="dxa"/>
            <w:tcBorders>
              <w:top w:val="nil"/>
              <w:left w:val="single" w:sz="8" w:space="0" w:color="auto"/>
              <w:bottom w:val="single" w:sz="8" w:space="0" w:color="auto"/>
              <w:right w:val="single" w:sz="8" w:space="0" w:color="auto"/>
            </w:tcBorders>
            <w:vAlign w:val="center"/>
            <w:hideMark/>
          </w:tcPr>
          <w:p w:rsidR="00956B89" w:rsidRPr="00956B89" w:rsidRDefault="00956B89" w:rsidP="00956B89">
            <w:pPr>
              <w:rPr>
                <w:sz w:val="24"/>
                <w:szCs w:val="24"/>
              </w:rPr>
            </w:pPr>
            <w:r w:rsidRPr="00956B89">
              <w:rPr>
                <w:sz w:val="24"/>
                <w:szCs w:val="24"/>
              </w:rPr>
              <w:t>8 - 9 kg</w:t>
            </w:r>
          </w:p>
        </w:tc>
        <w:tc>
          <w:tcPr>
            <w:tcW w:w="1491" w:type="dxa"/>
            <w:tcBorders>
              <w:top w:val="nil"/>
              <w:left w:val="nil"/>
              <w:bottom w:val="single" w:sz="8" w:space="0" w:color="auto"/>
              <w:right w:val="single" w:sz="8" w:space="0" w:color="auto"/>
            </w:tcBorders>
            <w:vAlign w:val="center"/>
            <w:hideMark/>
          </w:tcPr>
          <w:p w:rsidR="00956B89" w:rsidRPr="00956B89" w:rsidRDefault="00956B89" w:rsidP="00956B89">
            <w:pPr>
              <w:ind w:left="234"/>
              <w:rPr>
                <w:sz w:val="24"/>
                <w:szCs w:val="24"/>
              </w:rPr>
            </w:pPr>
            <w:r w:rsidRPr="00956B89">
              <w:rPr>
                <w:sz w:val="24"/>
                <w:szCs w:val="24"/>
                <w:vertAlign w:val="superscript"/>
              </w:rPr>
              <w:t>3</w:t>
            </w:r>
            <w:r w:rsidRPr="00956B89">
              <w:rPr>
                <w:sz w:val="24"/>
                <w:szCs w:val="24"/>
              </w:rPr>
              <w:t>/</w:t>
            </w:r>
            <w:r w:rsidRPr="00956B89">
              <w:rPr>
                <w:sz w:val="24"/>
                <w:szCs w:val="24"/>
                <w:vertAlign w:val="subscript"/>
              </w:rPr>
              <w:t>4</w:t>
            </w:r>
          </w:p>
        </w:tc>
        <w:tc>
          <w:tcPr>
            <w:tcW w:w="1283" w:type="dxa"/>
            <w:tcBorders>
              <w:top w:val="nil"/>
              <w:left w:val="nil"/>
              <w:bottom w:val="single" w:sz="8" w:space="0" w:color="auto"/>
              <w:right w:val="single" w:sz="8" w:space="0" w:color="auto"/>
            </w:tcBorders>
            <w:vAlign w:val="center"/>
            <w:hideMark/>
          </w:tcPr>
          <w:p w:rsidR="00956B89" w:rsidRPr="00956B89" w:rsidRDefault="00956B89" w:rsidP="00956B89">
            <w:pPr>
              <w:ind w:left="234"/>
              <w:rPr>
                <w:sz w:val="24"/>
                <w:szCs w:val="24"/>
              </w:rPr>
            </w:pPr>
            <w:r w:rsidRPr="00956B89">
              <w:rPr>
                <w:sz w:val="24"/>
                <w:szCs w:val="24"/>
                <w:vertAlign w:val="superscript"/>
              </w:rPr>
              <w:t>3</w:t>
            </w:r>
            <w:r w:rsidRPr="00956B89">
              <w:rPr>
                <w:sz w:val="24"/>
                <w:szCs w:val="24"/>
              </w:rPr>
              <w:t>/</w:t>
            </w:r>
            <w:r w:rsidRPr="00956B89">
              <w:rPr>
                <w:sz w:val="24"/>
                <w:szCs w:val="24"/>
                <w:vertAlign w:val="subscript"/>
              </w:rPr>
              <w:t>4</w:t>
            </w:r>
          </w:p>
        </w:tc>
        <w:tc>
          <w:tcPr>
            <w:tcW w:w="1564" w:type="dxa"/>
            <w:tcBorders>
              <w:top w:val="nil"/>
              <w:left w:val="nil"/>
              <w:bottom w:val="single" w:sz="8" w:space="0" w:color="auto"/>
              <w:right w:val="single" w:sz="8" w:space="0" w:color="auto"/>
            </w:tcBorders>
            <w:vAlign w:val="center"/>
            <w:hideMark/>
          </w:tcPr>
          <w:p w:rsidR="00956B89" w:rsidRPr="00956B89" w:rsidRDefault="00956B89" w:rsidP="00650666">
            <w:pPr>
              <w:tabs>
                <w:tab w:val="left" w:pos="851"/>
              </w:tabs>
              <w:rPr>
                <w:sz w:val="24"/>
                <w:szCs w:val="24"/>
              </w:rPr>
            </w:pPr>
            <w:r w:rsidRPr="00956B89">
              <w:rPr>
                <w:sz w:val="24"/>
                <w:szCs w:val="24"/>
              </w:rPr>
              <w:t>1½</w:t>
            </w:r>
          </w:p>
        </w:tc>
        <w:tc>
          <w:tcPr>
            <w:tcW w:w="1501" w:type="dxa"/>
            <w:tcBorders>
              <w:top w:val="nil"/>
              <w:left w:val="nil"/>
              <w:bottom w:val="single" w:sz="8" w:space="0" w:color="auto"/>
              <w:right w:val="single" w:sz="8" w:space="0" w:color="auto"/>
            </w:tcBorders>
            <w:vAlign w:val="center"/>
            <w:hideMark/>
          </w:tcPr>
          <w:p w:rsidR="00956B89" w:rsidRPr="00956B89" w:rsidRDefault="00956B89" w:rsidP="00650666">
            <w:pPr>
              <w:ind w:left="60"/>
              <w:rPr>
                <w:sz w:val="24"/>
                <w:szCs w:val="24"/>
              </w:rPr>
            </w:pPr>
            <w:r w:rsidRPr="00956B89">
              <w:rPr>
                <w:sz w:val="24"/>
                <w:szCs w:val="24"/>
              </w:rPr>
              <w:t>8,3 - 9,4</w:t>
            </w:r>
          </w:p>
        </w:tc>
      </w:tr>
      <w:tr w:rsidR="00956B89" w:rsidRPr="00956B89" w:rsidTr="00956B89">
        <w:trPr>
          <w:trHeight w:val="399"/>
        </w:trPr>
        <w:tc>
          <w:tcPr>
            <w:tcW w:w="1876" w:type="dxa"/>
            <w:tcBorders>
              <w:top w:val="nil"/>
              <w:left w:val="single" w:sz="8" w:space="0" w:color="auto"/>
              <w:bottom w:val="single" w:sz="8" w:space="0" w:color="auto"/>
              <w:right w:val="single" w:sz="8" w:space="0" w:color="auto"/>
            </w:tcBorders>
            <w:vAlign w:val="center"/>
            <w:hideMark/>
          </w:tcPr>
          <w:p w:rsidR="00956B89" w:rsidRPr="00956B89" w:rsidRDefault="00956B89" w:rsidP="00956B89">
            <w:pPr>
              <w:rPr>
                <w:sz w:val="24"/>
                <w:szCs w:val="24"/>
              </w:rPr>
            </w:pPr>
            <w:r w:rsidRPr="00956B89">
              <w:rPr>
                <w:sz w:val="24"/>
                <w:szCs w:val="24"/>
              </w:rPr>
              <w:t>10 - 15 kg</w:t>
            </w:r>
          </w:p>
        </w:tc>
        <w:tc>
          <w:tcPr>
            <w:tcW w:w="1491" w:type="dxa"/>
            <w:tcBorders>
              <w:top w:val="nil"/>
              <w:left w:val="nil"/>
              <w:bottom w:val="single" w:sz="8" w:space="0" w:color="auto"/>
              <w:right w:val="single" w:sz="8" w:space="0" w:color="auto"/>
            </w:tcBorders>
            <w:vAlign w:val="center"/>
            <w:hideMark/>
          </w:tcPr>
          <w:p w:rsidR="00956B89" w:rsidRPr="00956B89" w:rsidRDefault="00956B89" w:rsidP="00956B89">
            <w:pPr>
              <w:ind w:left="234"/>
              <w:rPr>
                <w:sz w:val="24"/>
                <w:szCs w:val="24"/>
              </w:rPr>
            </w:pPr>
            <w:r w:rsidRPr="00956B89">
              <w:rPr>
                <w:sz w:val="24"/>
                <w:szCs w:val="24"/>
              </w:rPr>
              <w:t>1</w:t>
            </w:r>
          </w:p>
        </w:tc>
        <w:tc>
          <w:tcPr>
            <w:tcW w:w="1283" w:type="dxa"/>
            <w:tcBorders>
              <w:top w:val="nil"/>
              <w:left w:val="nil"/>
              <w:bottom w:val="single" w:sz="8" w:space="0" w:color="auto"/>
              <w:right w:val="single" w:sz="8" w:space="0" w:color="auto"/>
            </w:tcBorders>
            <w:vAlign w:val="center"/>
            <w:hideMark/>
          </w:tcPr>
          <w:p w:rsidR="00956B89" w:rsidRPr="00956B89" w:rsidRDefault="00956B89" w:rsidP="00956B89">
            <w:pPr>
              <w:ind w:left="234"/>
              <w:rPr>
                <w:sz w:val="24"/>
                <w:szCs w:val="24"/>
              </w:rPr>
            </w:pPr>
            <w:r w:rsidRPr="00956B89">
              <w:rPr>
                <w:sz w:val="24"/>
                <w:szCs w:val="24"/>
              </w:rPr>
              <w:t>1</w:t>
            </w:r>
          </w:p>
        </w:tc>
        <w:tc>
          <w:tcPr>
            <w:tcW w:w="1564" w:type="dxa"/>
            <w:tcBorders>
              <w:top w:val="nil"/>
              <w:left w:val="nil"/>
              <w:bottom w:val="single" w:sz="8" w:space="0" w:color="auto"/>
              <w:right w:val="single" w:sz="8" w:space="0" w:color="auto"/>
            </w:tcBorders>
            <w:vAlign w:val="center"/>
            <w:hideMark/>
          </w:tcPr>
          <w:p w:rsidR="00956B89" w:rsidRPr="00956B89" w:rsidRDefault="00956B89" w:rsidP="00650666">
            <w:pPr>
              <w:tabs>
                <w:tab w:val="left" w:pos="851"/>
              </w:tabs>
              <w:rPr>
                <w:sz w:val="24"/>
                <w:szCs w:val="24"/>
              </w:rPr>
            </w:pPr>
            <w:r w:rsidRPr="00956B89">
              <w:rPr>
                <w:sz w:val="24"/>
                <w:szCs w:val="24"/>
              </w:rPr>
              <w:t>2</w:t>
            </w:r>
          </w:p>
        </w:tc>
        <w:tc>
          <w:tcPr>
            <w:tcW w:w="1501" w:type="dxa"/>
            <w:tcBorders>
              <w:top w:val="nil"/>
              <w:left w:val="nil"/>
              <w:bottom w:val="single" w:sz="8" w:space="0" w:color="auto"/>
              <w:right w:val="single" w:sz="8" w:space="0" w:color="auto"/>
            </w:tcBorders>
            <w:vAlign w:val="center"/>
            <w:hideMark/>
          </w:tcPr>
          <w:p w:rsidR="00956B89" w:rsidRPr="00956B89" w:rsidRDefault="00956B89" w:rsidP="00650666">
            <w:pPr>
              <w:ind w:left="60"/>
              <w:rPr>
                <w:sz w:val="24"/>
                <w:szCs w:val="24"/>
              </w:rPr>
            </w:pPr>
            <w:r w:rsidRPr="00956B89">
              <w:rPr>
                <w:sz w:val="24"/>
                <w:szCs w:val="24"/>
              </w:rPr>
              <w:t>6,7 - 10,0</w:t>
            </w:r>
          </w:p>
        </w:tc>
      </w:tr>
      <w:tr w:rsidR="00956B89" w:rsidRPr="00956B89" w:rsidTr="00956B89">
        <w:trPr>
          <w:trHeight w:val="399"/>
        </w:trPr>
        <w:tc>
          <w:tcPr>
            <w:tcW w:w="1876" w:type="dxa"/>
            <w:tcBorders>
              <w:top w:val="single" w:sz="8" w:space="0" w:color="auto"/>
              <w:left w:val="single" w:sz="8" w:space="0" w:color="auto"/>
              <w:bottom w:val="single" w:sz="8" w:space="0" w:color="auto"/>
              <w:right w:val="single" w:sz="8" w:space="0" w:color="auto"/>
            </w:tcBorders>
            <w:vAlign w:val="center"/>
            <w:hideMark/>
          </w:tcPr>
          <w:p w:rsidR="00956B89" w:rsidRPr="00956B89" w:rsidRDefault="00956B89" w:rsidP="00956B89">
            <w:pPr>
              <w:rPr>
                <w:sz w:val="24"/>
                <w:szCs w:val="24"/>
              </w:rPr>
            </w:pPr>
            <w:r w:rsidRPr="00956B89">
              <w:rPr>
                <w:sz w:val="24"/>
                <w:szCs w:val="24"/>
              </w:rPr>
              <w:t>16 - 25 kg</w:t>
            </w:r>
          </w:p>
        </w:tc>
        <w:tc>
          <w:tcPr>
            <w:tcW w:w="1491" w:type="dxa"/>
            <w:tcBorders>
              <w:top w:val="single" w:sz="8" w:space="0" w:color="auto"/>
              <w:left w:val="nil"/>
              <w:bottom w:val="single" w:sz="8" w:space="0" w:color="auto"/>
              <w:right w:val="single" w:sz="8" w:space="0" w:color="auto"/>
            </w:tcBorders>
            <w:vAlign w:val="center"/>
            <w:hideMark/>
          </w:tcPr>
          <w:p w:rsidR="00956B89" w:rsidRPr="00956B89" w:rsidRDefault="00956B89" w:rsidP="00956B89">
            <w:pPr>
              <w:ind w:left="234"/>
              <w:rPr>
                <w:sz w:val="24"/>
                <w:szCs w:val="24"/>
              </w:rPr>
            </w:pPr>
            <w:r w:rsidRPr="00956B89">
              <w:rPr>
                <w:sz w:val="24"/>
                <w:szCs w:val="24"/>
              </w:rPr>
              <w:t>1½</w:t>
            </w:r>
          </w:p>
        </w:tc>
        <w:tc>
          <w:tcPr>
            <w:tcW w:w="1283" w:type="dxa"/>
            <w:tcBorders>
              <w:top w:val="single" w:sz="8" w:space="0" w:color="auto"/>
              <w:left w:val="nil"/>
              <w:bottom w:val="single" w:sz="8" w:space="0" w:color="auto"/>
              <w:right w:val="single" w:sz="8" w:space="0" w:color="auto"/>
            </w:tcBorders>
            <w:vAlign w:val="center"/>
            <w:hideMark/>
          </w:tcPr>
          <w:p w:rsidR="00956B89" w:rsidRPr="00956B89" w:rsidRDefault="00956B89" w:rsidP="00956B89">
            <w:pPr>
              <w:ind w:left="234"/>
              <w:rPr>
                <w:sz w:val="24"/>
                <w:szCs w:val="24"/>
              </w:rPr>
            </w:pPr>
            <w:r w:rsidRPr="00956B89">
              <w:rPr>
                <w:sz w:val="24"/>
                <w:szCs w:val="24"/>
              </w:rPr>
              <w:t>1½</w:t>
            </w:r>
          </w:p>
        </w:tc>
        <w:tc>
          <w:tcPr>
            <w:tcW w:w="1564" w:type="dxa"/>
            <w:tcBorders>
              <w:top w:val="single" w:sz="8" w:space="0" w:color="auto"/>
              <w:left w:val="nil"/>
              <w:bottom w:val="single" w:sz="8" w:space="0" w:color="auto"/>
              <w:right w:val="single" w:sz="8" w:space="0" w:color="auto"/>
            </w:tcBorders>
            <w:vAlign w:val="center"/>
            <w:hideMark/>
          </w:tcPr>
          <w:p w:rsidR="00956B89" w:rsidRPr="00956B89" w:rsidRDefault="00956B89" w:rsidP="00650666">
            <w:pPr>
              <w:tabs>
                <w:tab w:val="left" w:pos="851"/>
              </w:tabs>
              <w:rPr>
                <w:sz w:val="24"/>
                <w:szCs w:val="24"/>
              </w:rPr>
            </w:pPr>
            <w:r w:rsidRPr="00956B89">
              <w:rPr>
                <w:sz w:val="24"/>
                <w:szCs w:val="24"/>
              </w:rPr>
              <w:t>3</w:t>
            </w:r>
          </w:p>
        </w:tc>
        <w:tc>
          <w:tcPr>
            <w:tcW w:w="1501" w:type="dxa"/>
            <w:tcBorders>
              <w:top w:val="single" w:sz="8" w:space="0" w:color="auto"/>
              <w:left w:val="nil"/>
              <w:bottom w:val="single" w:sz="8" w:space="0" w:color="auto"/>
              <w:right w:val="single" w:sz="8" w:space="0" w:color="auto"/>
            </w:tcBorders>
            <w:vAlign w:val="center"/>
            <w:hideMark/>
          </w:tcPr>
          <w:p w:rsidR="00956B89" w:rsidRPr="00956B89" w:rsidRDefault="00956B89" w:rsidP="00650666">
            <w:pPr>
              <w:ind w:left="60"/>
              <w:rPr>
                <w:sz w:val="24"/>
                <w:szCs w:val="24"/>
              </w:rPr>
            </w:pPr>
            <w:r w:rsidRPr="00956B89">
              <w:rPr>
                <w:sz w:val="24"/>
                <w:szCs w:val="24"/>
              </w:rPr>
              <w:t>6,0 - 9,4</w:t>
            </w:r>
          </w:p>
        </w:tc>
      </w:tr>
      <w:tr w:rsidR="00956B89" w:rsidRPr="00956B89" w:rsidTr="00956B89">
        <w:trPr>
          <w:trHeight w:val="399"/>
        </w:trPr>
        <w:tc>
          <w:tcPr>
            <w:tcW w:w="1876" w:type="dxa"/>
            <w:tcBorders>
              <w:top w:val="single" w:sz="8" w:space="0" w:color="auto"/>
              <w:left w:val="single" w:sz="8" w:space="0" w:color="auto"/>
              <w:bottom w:val="single" w:sz="8" w:space="0" w:color="auto"/>
              <w:right w:val="single" w:sz="8" w:space="0" w:color="auto"/>
            </w:tcBorders>
            <w:vAlign w:val="center"/>
            <w:hideMark/>
          </w:tcPr>
          <w:p w:rsidR="00956B89" w:rsidRPr="00956B89" w:rsidRDefault="00956B89" w:rsidP="00956B89">
            <w:pPr>
              <w:rPr>
                <w:sz w:val="24"/>
                <w:szCs w:val="24"/>
              </w:rPr>
            </w:pPr>
            <w:r w:rsidRPr="00956B89">
              <w:rPr>
                <w:sz w:val="24"/>
                <w:szCs w:val="24"/>
              </w:rPr>
              <w:t>26 - 33 kg</w:t>
            </w:r>
          </w:p>
        </w:tc>
        <w:tc>
          <w:tcPr>
            <w:tcW w:w="1491" w:type="dxa"/>
            <w:tcBorders>
              <w:top w:val="single" w:sz="8" w:space="0" w:color="auto"/>
              <w:left w:val="nil"/>
              <w:bottom w:val="single" w:sz="8" w:space="0" w:color="auto"/>
              <w:right w:val="single" w:sz="8" w:space="0" w:color="auto"/>
            </w:tcBorders>
            <w:vAlign w:val="center"/>
            <w:hideMark/>
          </w:tcPr>
          <w:p w:rsidR="00956B89" w:rsidRPr="00956B89" w:rsidRDefault="00956B89" w:rsidP="00956B89">
            <w:pPr>
              <w:ind w:left="234"/>
              <w:rPr>
                <w:sz w:val="24"/>
                <w:szCs w:val="24"/>
              </w:rPr>
            </w:pPr>
            <w:r w:rsidRPr="00956B89">
              <w:rPr>
                <w:sz w:val="24"/>
                <w:szCs w:val="24"/>
              </w:rPr>
              <w:t>2</w:t>
            </w:r>
          </w:p>
        </w:tc>
        <w:tc>
          <w:tcPr>
            <w:tcW w:w="1283" w:type="dxa"/>
            <w:tcBorders>
              <w:top w:val="single" w:sz="8" w:space="0" w:color="auto"/>
              <w:left w:val="nil"/>
              <w:bottom w:val="single" w:sz="8" w:space="0" w:color="auto"/>
              <w:right w:val="single" w:sz="8" w:space="0" w:color="auto"/>
            </w:tcBorders>
            <w:vAlign w:val="center"/>
            <w:hideMark/>
          </w:tcPr>
          <w:p w:rsidR="00956B89" w:rsidRPr="00956B89" w:rsidRDefault="00956B89" w:rsidP="00956B89">
            <w:pPr>
              <w:ind w:left="234"/>
              <w:rPr>
                <w:sz w:val="24"/>
                <w:szCs w:val="24"/>
              </w:rPr>
            </w:pPr>
            <w:r w:rsidRPr="00956B89">
              <w:rPr>
                <w:sz w:val="24"/>
                <w:szCs w:val="24"/>
              </w:rPr>
              <w:t>2</w:t>
            </w:r>
          </w:p>
        </w:tc>
        <w:tc>
          <w:tcPr>
            <w:tcW w:w="1564" w:type="dxa"/>
            <w:tcBorders>
              <w:top w:val="single" w:sz="8" w:space="0" w:color="auto"/>
              <w:left w:val="nil"/>
              <w:bottom w:val="single" w:sz="8" w:space="0" w:color="auto"/>
              <w:right w:val="single" w:sz="8" w:space="0" w:color="auto"/>
            </w:tcBorders>
            <w:vAlign w:val="center"/>
            <w:hideMark/>
          </w:tcPr>
          <w:p w:rsidR="00956B89" w:rsidRPr="00956B89" w:rsidRDefault="00956B89" w:rsidP="00650666">
            <w:pPr>
              <w:tabs>
                <w:tab w:val="left" w:pos="851"/>
              </w:tabs>
              <w:rPr>
                <w:sz w:val="24"/>
                <w:szCs w:val="24"/>
              </w:rPr>
            </w:pPr>
            <w:r w:rsidRPr="00956B89">
              <w:rPr>
                <w:sz w:val="24"/>
                <w:szCs w:val="24"/>
              </w:rPr>
              <w:t>4</w:t>
            </w:r>
          </w:p>
        </w:tc>
        <w:tc>
          <w:tcPr>
            <w:tcW w:w="1501" w:type="dxa"/>
            <w:tcBorders>
              <w:top w:val="single" w:sz="8" w:space="0" w:color="auto"/>
              <w:left w:val="nil"/>
              <w:bottom w:val="single" w:sz="8" w:space="0" w:color="auto"/>
              <w:right w:val="single" w:sz="8" w:space="0" w:color="auto"/>
            </w:tcBorders>
            <w:vAlign w:val="center"/>
            <w:hideMark/>
          </w:tcPr>
          <w:p w:rsidR="00956B89" w:rsidRPr="00956B89" w:rsidRDefault="00956B89" w:rsidP="00650666">
            <w:pPr>
              <w:ind w:left="60"/>
              <w:rPr>
                <w:sz w:val="24"/>
                <w:szCs w:val="24"/>
              </w:rPr>
            </w:pPr>
            <w:r w:rsidRPr="00956B89">
              <w:rPr>
                <w:sz w:val="24"/>
                <w:szCs w:val="24"/>
              </w:rPr>
              <w:t>6,1 - 7,7</w:t>
            </w:r>
          </w:p>
        </w:tc>
      </w:tr>
    </w:tbl>
    <w:p w:rsidR="00956B89" w:rsidRPr="00956B89" w:rsidRDefault="00956B89" w:rsidP="00956B89">
      <w:pPr>
        <w:tabs>
          <w:tab w:val="left" w:pos="851"/>
        </w:tabs>
        <w:ind w:left="851"/>
        <w:rPr>
          <w:iCs/>
          <w:sz w:val="24"/>
          <w:szCs w:val="24"/>
        </w:rPr>
      </w:pPr>
    </w:p>
    <w:p w:rsidR="00956B89" w:rsidRPr="00956B89" w:rsidRDefault="00956B89" w:rsidP="00956B89">
      <w:pPr>
        <w:tabs>
          <w:tab w:val="left" w:pos="851"/>
        </w:tabs>
        <w:ind w:left="851"/>
        <w:rPr>
          <w:iCs/>
          <w:sz w:val="24"/>
          <w:szCs w:val="24"/>
        </w:rPr>
      </w:pPr>
      <w:r w:rsidRPr="00956B89">
        <w:rPr>
          <w:iCs/>
          <w:sz w:val="24"/>
          <w:szCs w:val="24"/>
        </w:rPr>
        <w:t>For at sikre administration af den korrekte dosis bør dyrets legemsvægt bestemmes før behandling.</w:t>
      </w:r>
    </w:p>
    <w:p w:rsidR="00956B89" w:rsidRPr="00956B89" w:rsidRDefault="00956B89" w:rsidP="00956B89">
      <w:pPr>
        <w:tabs>
          <w:tab w:val="left" w:pos="851"/>
        </w:tabs>
        <w:ind w:left="851"/>
        <w:rPr>
          <w:iCs/>
          <w:sz w:val="24"/>
          <w:szCs w:val="24"/>
        </w:rPr>
      </w:pPr>
      <w:r w:rsidRPr="00956B89">
        <w:rPr>
          <w:iCs/>
          <w:sz w:val="24"/>
          <w:szCs w:val="24"/>
        </w:rPr>
        <w:t xml:space="preserve">Hunde på mere end 20 kg kan gives Vitofyllin 100 mg filmovertrukne tabletter til hund. </w:t>
      </w:r>
    </w:p>
    <w:p w:rsidR="00956B89" w:rsidRPr="00956B89" w:rsidRDefault="00956B89" w:rsidP="00956B89">
      <w:pPr>
        <w:tabs>
          <w:tab w:val="left" w:pos="851"/>
        </w:tabs>
        <w:ind w:left="851"/>
        <w:rPr>
          <w:sz w:val="24"/>
          <w:szCs w:val="24"/>
        </w:rPr>
      </w:pPr>
      <w:r w:rsidRPr="00956B89">
        <w:rPr>
          <w:sz w:val="24"/>
          <w:szCs w:val="24"/>
        </w:rPr>
        <w:t>Tabletterne kan administreres direkte til bagsiden af hundens tunge eller kan blandes i en lille kugle af mad og skal administereres mindst 30 minutter før fodring.</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rsidR="008A2FDF" w:rsidRPr="008A2FDF" w:rsidRDefault="008A2FDF" w:rsidP="008A2FDF">
      <w:pPr>
        <w:tabs>
          <w:tab w:val="left" w:pos="851"/>
        </w:tabs>
        <w:ind w:left="851"/>
        <w:rPr>
          <w:sz w:val="24"/>
          <w:szCs w:val="24"/>
        </w:rPr>
      </w:pPr>
      <w:r w:rsidRPr="008A2FDF">
        <w:rPr>
          <w:sz w:val="24"/>
          <w:szCs w:val="24"/>
        </w:rPr>
        <w:t xml:space="preserve">Excitation, takykardi, hypotension, rødme af slimhinder og opkastning. </w:t>
      </w:r>
    </w:p>
    <w:p w:rsidR="008A2FDF" w:rsidRPr="008A2FDF" w:rsidRDefault="008A2FDF" w:rsidP="008A2FDF">
      <w:pPr>
        <w:tabs>
          <w:tab w:val="left" w:pos="851"/>
        </w:tabs>
        <w:ind w:left="851"/>
        <w:rPr>
          <w:sz w:val="24"/>
          <w:szCs w:val="24"/>
        </w:rPr>
      </w:pPr>
      <w:r w:rsidRPr="008A2FDF">
        <w:rPr>
          <w:sz w:val="24"/>
          <w:szCs w:val="24"/>
        </w:rPr>
        <w:t>Seponering af behandlingen medfører en spontan remission af disse symptomer.</w:t>
      </w:r>
    </w:p>
    <w:p w:rsidR="008203A8" w:rsidRDefault="008203A8" w:rsidP="008203A8">
      <w:pPr>
        <w:tabs>
          <w:tab w:val="left" w:pos="851"/>
        </w:tabs>
        <w:ind w:left="851"/>
        <w:rPr>
          <w:sz w:val="24"/>
          <w:szCs w:val="24"/>
        </w:rPr>
      </w:pPr>
    </w:p>
    <w:p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rsidR="008203A8" w:rsidRDefault="008A2FDF" w:rsidP="008203A8">
      <w:pPr>
        <w:tabs>
          <w:tab w:val="left" w:pos="851"/>
        </w:tabs>
        <w:ind w:left="851"/>
        <w:rPr>
          <w:sz w:val="24"/>
          <w:szCs w:val="24"/>
        </w:rPr>
      </w:pPr>
      <w:r>
        <w:rPr>
          <w:sz w:val="24"/>
          <w:szCs w:val="24"/>
        </w:rPr>
        <w:t>Ikke relevant.</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rsidR="008203A8" w:rsidRPr="00406EE7" w:rsidRDefault="008A2FDF" w:rsidP="008203A8">
      <w:pPr>
        <w:tabs>
          <w:tab w:val="left" w:pos="851"/>
        </w:tabs>
        <w:ind w:left="851"/>
        <w:rPr>
          <w:sz w:val="24"/>
          <w:szCs w:val="24"/>
        </w:rPr>
      </w:pPr>
      <w:r>
        <w:rPr>
          <w:sz w:val="24"/>
          <w:szCs w:val="24"/>
        </w:rPr>
        <w:t>Ikke relevant.</w:t>
      </w:r>
    </w:p>
    <w:p w:rsidR="008203A8" w:rsidRPr="00406EE7" w:rsidRDefault="008203A8" w:rsidP="008203A8">
      <w:pPr>
        <w:pStyle w:val="Sidehoved"/>
        <w:tabs>
          <w:tab w:val="clear" w:pos="4819"/>
        </w:tabs>
        <w:ind w:left="851"/>
        <w:rPr>
          <w:szCs w:val="24"/>
        </w:rPr>
      </w:pPr>
    </w:p>
    <w:p w:rsidR="00E347A2" w:rsidRDefault="00E347A2">
      <w:pPr>
        <w:rPr>
          <w:sz w:val="24"/>
          <w:szCs w:val="24"/>
        </w:rPr>
      </w:pPr>
      <w:r>
        <w:rPr>
          <w:sz w:val="24"/>
          <w:szCs w:val="24"/>
        </w:rPr>
        <w:br w:type="page"/>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sidRPr="008A2FDF">
        <w:rPr>
          <w:b/>
          <w:sz w:val="24"/>
          <w:szCs w:val="24"/>
        </w:rPr>
        <w:t>4.</w:t>
      </w:r>
      <w:r w:rsidRPr="008A2FDF">
        <w:rPr>
          <w:b/>
          <w:sz w:val="24"/>
          <w:szCs w:val="24"/>
        </w:rPr>
        <w:tab/>
        <w:t>FARMAKOLOGISKE</w:t>
      </w:r>
      <w:r w:rsidR="008A2FDF">
        <w:rPr>
          <w:b/>
          <w:sz w:val="24"/>
          <w:szCs w:val="24"/>
        </w:rPr>
        <w:t xml:space="preserve"> OPLYSNINGER</w:t>
      </w:r>
    </w:p>
    <w:p w:rsidR="008203A8" w:rsidRDefault="008203A8" w:rsidP="008203A8">
      <w:pPr>
        <w:ind w:left="851"/>
        <w:rPr>
          <w:sz w:val="24"/>
          <w:szCs w:val="24"/>
        </w:rPr>
      </w:pPr>
    </w:p>
    <w:p w:rsidR="008203A8" w:rsidRPr="00340679" w:rsidRDefault="008203A8" w:rsidP="008203A8">
      <w:pPr>
        <w:ind w:left="851" w:hanging="851"/>
        <w:rPr>
          <w:b/>
          <w:sz w:val="24"/>
          <w:szCs w:val="24"/>
        </w:rPr>
      </w:pPr>
      <w:r w:rsidRPr="00340679">
        <w:rPr>
          <w:b/>
          <w:sz w:val="24"/>
          <w:szCs w:val="24"/>
        </w:rPr>
        <w:t>4.1</w:t>
      </w:r>
      <w:r w:rsidRPr="00340679">
        <w:rPr>
          <w:b/>
          <w:sz w:val="24"/>
          <w:szCs w:val="24"/>
        </w:rPr>
        <w:tab/>
        <w:t>ATCvet-kode</w:t>
      </w:r>
    </w:p>
    <w:p w:rsidR="008203A8" w:rsidRPr="00845C23" w:rsidRDefault="008A2FDF" w:rsidP="008203A8">
      <w:pPr>
        <w:ind w:left="851"/>
        <w:rPr>
          <w:sz w:val="24"/>
          <w:szCs w:val="24"/>
        </w:rPr>
      </w:pPr>
      <w:r w:rsidRPr="00845C23">
        <w:rPr>
          <w:sz w:val="24"/>
          <w:szCs w:val="24"/>
        </w:rPr>
        <w:t>QC04AD90</w:t>
      </w:r>
    </w:p>
    <w:p w:rsidR="008203A8" w:rsidRPr="00845C23" w:rsidRDefault="008203A8" w:rsidP="008203A8">
      <w:pPr>
        <w:ind w:left="851"/>
        <w:rPr>
          <w:sz w:val="24"/>
          <w:szCs w:val="24"/>
        </w:rPr>
      </w:pPr>
    </w:p>
    <w:p w:rsidR="008203A8" w:rsidRPr="00845C23" w:rsidRDefault="008203A8" w:rsidP="008203A8">
      <w:pPr>
        <w:tabs>
          <w:tab w:val="left" w:pos="851"/>
        </w:tabs>
        <w:ind w:left="851" w:hanging="851"/>
        <w:rPr>
          <w:b/>
          <w:sz w:val="24"/>
          <w:szCs w:val="24"/>
        </w:rPr>
      </w:pPr>
      <w:r w:rsidRPr="00845C23">
        <w:rPr>
          <w:b/>
          <w:sz w:val="24"/>
          <w:szCs w:val="24"/>
        </w:rPr>
        <w:t>4.2</w:t>
      </w:r>
      <w:r w:rsidRPr="00845C23">
        <w:rPr>
          <w:b/>
          <w:sz w:val="24"/>
          <w:szCs w:val="24"/>
        </w:rPr>
        <w:tab/>
        <w:t>Farmakodynamiske oplysninger</w:t>
      </w:r>
    </w:p>
    <w:p w:rsidR="00845C23" w:rsidRPr="00845C23" w:rsidRDefault="00845C23" w:rsidP="00845C23">
      <w:pPr>
        <w:tabs>
          <w:tab w:val="left" w:pos="851"/>
        </w:tabs>
        <w:ind w:left="851"/>
        <w:rPr>
          <w:sz w:val="24"/>
          <w:szCs w:val="24"/>
        </w:rPr>
      </w:pPr>
      <w:r w:rsidRPr="00845C23">
        <w:rPr>
          <w:sz w:val="24"/>
          <w:szCs w:val="24"/>
        </w:rPr>
        <w:t>Propentofyllin har vist sig at øge blodstrømningen, især i hjerte- og skeletmuskulaturen. Det øger også blodstrømningen i hjernen og dermed dens tilførsel af oxygen uden at øge hjernens glucosebehov. Det har en moderat positiv kronotropisk virkning og en markant positiv inotropisk virkning. Desuden har det vist sig at have en antiarytmisk virkning hos hunde med myokardiel iskæmi og en bronkodilatatorvirkning svarende til den for aminofyllin.</w:t>
      </w:r>
    </w:p>
    <w:p w:rsidR="00845C23" w:rsidRPr="00845C23" w:rsidRDefault="00845C23" w:rsidP="00845C23">
      <w:pPr>
        <w:tabs>
          <w:tab w:val="left" w:pos="851"/>
        </w:tabs>
        <w:ind w:left="851"/>
        <w:rPr>
          <w:sz w:val="24"/>
          <w:szCs w:val="24"/>
        </w:rPr>
      </w:pPr>
      <w:r w:rsidRPr="00845C23">
        <w:rPr>
          <w:sz w:val="24"/>
          <w:szCs w:val="24"/>
        </w:rPr>
        <w:t xml:space="preserve">Propentofyllin hæmmer trombocytaggregering og forbedrer strømningsegenskaberne for erytrocytter. </w:t>
      </w:r>
    </w:p>
    <w:p w:rsidR="00845C23" w:rsidRPr="00845C23" w:rsidRDefault="00845C23" w:rsidP="00845C23">
      <w:pPr>
        <w:tabs>
          <w:tab w:val="left" w:pos="851"/>
        </w:tabs>
        <w:ind w:left="851"/>
        <w:rPr>
          <w:sz w:val="24"/>
          <w:szCs w:val="24"/>
        </w:rPr>
      </w:pPr>
      <w:r w:rsidRPr="00845C23">
        <w:rPr>
          <w:sz w:val="24"/>
          <w:szCs w:val="24"/>
        </w:rPr>
        <w:t>Det har en direkte virkning på hjertet og reducerer perifer vaskulær resistens, hvorved belastningen på hjertet reduceres.</w:t>
      </w:r>
    </w:p>
    <w:p w:rsidR="00845C23" w:rsidRPr="00845C23" w:rsidRDefault="00845C23" w:rsidP="00845C23">
      <w:pPr>
        <w:tabs>
          <w:tab w:val="left" w:pos="851"/>
        </w:tabs>
        <w:ind w:left="851"/>
        <w:rPr>
          <w:sz w:val="24"/>
          <w:szCs w:val="24"/>
        </w:rPr>
      </w:pPr>
      <w:r w:rsidRPr="00845C23">
        <w:rPr>
          <w:sz w:val="24"/>
          <w:szCs w:val="24"/>
        </w:rPr>
        <w:t>Propentofyllin kan øge villigheden til fysisk aktivitet og aktivitetstolerancen, især hos ældre hunde.</w:t>
      </w:r>
    </w:p>
    <w:p w:rsidR="008203A8" w:rsidRPr="00845C23" w:rsidRDefault="008203A8" w:rsidP="008203A8">
      <w:pPr>
        <w:tabs>
          <w:tab w:val="left" w:pos="851"/>
        </w:tabs>
        <w:ind w:left="851"/>
        <w:rPr>
          <w:sz w:val="24"/>
          <w:szCs w:val="24"/>
        </w:rPr>
      </w:pPr>
    </w:p>
    <w:p w:rsidR="008203A8" w:rsidRPr="00845C23" w:rsidRDefault="008203A8" w:rsidP="008203A8">
      <w:pPr>
        <w:tabs>
          <w:tab w:val="left" w:pos="851"/>
        </w:tabs>
        <w:ind w:left="851" w:hanging="851"/>
        <w:rPr>
          <w:b/>
          <w:sz w:val="24"/>
          <w:szCs w:val="24"/>
        </w:rPr>
      </w:pPr>
      <w:r w:rsidRPr="00845C23">
        <w:rPr>
          <w:b/>
          <w:sz w:val="24"/>
          <w:szCs w:val="24"/>
        </w:rPr>
        <w:t>4.3</w:t>
      </w:r>
      <w:r w:rsidRPr="00845C23">
        <w:rPr>
          <w:b/>
          <w:sz w:val="24"/>
          <w:szCs w:val="24"/>
        </w:rPr>
        <w:tab/>
        <w:t>Farmakokinetiske oplysninger</w:t>
      </w:r>
    </w:p>
    <w:p w:rsidR="00845C23" w:rsidRPr="00845C23" w:rsidRDefault="00845C23" w:rsidP="00845C23">
      <w:pPr>
        <w:tabs>
          <w:tab w:val="left" w:pos="851"/>
        </w:tabs>
        <w:ind w:left="851"/>
        <w:rPr>
          <w:sz w:val="24"/>
          <w:szCs w:val="24"/>
        </w:rPr>
      </w:pPr>
      <w:r w:rsidRPr="00845C23">
        <w:rPr>
          <w:sz w:val="24"/>
          <w:szCs w:val="24"/>
        </w:rPr>
        <w:t>Efter oral administration absorberes propentofyllin hurtigt og fuldstændigt og fordeles hurtigt i vævene. Efter oral administration til hunde nås maksimale plasmaniveauer allerede efter 15 minutter.</w:t>
      </w:r>
    </w:p>
    <w:p w:rsidR="00845C23" w:rsidRPr="00845C23" w:rsidRDefault="00845C23" w:rsidP="00845C23">
      <w:pPr>
        <w:tabs>
          <w:tab w:val="left" w:pos="851"/>
        </w:tabs>
        <w:ind w:left="851"/>
        <w:rPr>
          <w:sz w:val="24"/>
          <w:szCs w:val="24"/>
        </w:rPr>
      </w:pPr>
      <w:r w:rsidRPr="00845C23">
        <w:rPr>
          <w:sz w:val="24"/>
          <w:szCs w:val="24"/>
        </w:rPr>
        <w:t>Halveringstiden er ca. 30 minutter, og biotilgængeligheden for moderstoffet er ca. 30 %. Der er en række effektive metabolitter, og biotransformationen finder overvejende sted i leveren. Propentofyllin udskilles i form af dets metabolitter med 80-90 % via nyrerne. Resten elimineres med fæces. Der er ingen akkumulering.</w:t>
      </w:r>
      <w:r w:rsidRPr="00845C23">
        <w:rPr>
          <w:sz w:val="24"/>
          <w:szCs w:val="24"/>
        </w:rPr>
        <w:tab/>
      </w:r>
    </w:p>
    <w:p w:rsidR="00845C23" w:rsidRDefault="00845C23" w:rsidP="00845C23">
      <w:pPr>
        <w:tabs>
          <w:tab w:val="left" w:pos="851"/>
        </w:tabs>
        <w:ind w:left="851"/>
        <w:rPr>
          <w:sz w:val="24"/>
          <w:szCs w:val="24"/>
        </w:rPr>
      </w:pPr>
    </w:p>
    <w:p w:rsidR="00001974" w:rsidRPr="00845C23" w:rsidRDefault="00001974" w:rsidP="00845C23">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rsidR="008203A8" w:rsidRPr="00406EE7" w:rsidRDefault="00001974" w:rsidP="008203A8">
      <w:pPr>
        <w:tabs>
          <w:tab w:val="left" w:pos="851"/>
        </w:tabs>
        <w:ind w:left="851"/>
        <w:rPr>
          <w:sz w:val="24"/>
          <w:szCs w:val="24"/>
        </w:rPr>
      </w:pPr>
      <w:r>
        <w:rPr>
          <w:sz w:val="24"/>
          <w:szCs w:val="24"/>
        </w:rPr>
        <w:t>Ikke relevant.</w:t>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rsidR="00851DF4" w:rsidRPr="00851DF4" w:rsidRDefault="00851DF4" w:rsidP="00851DF4">
      <w:pPr>
        <w:tabs>
          <w:tab w:val="left" w:pos="851"/>
        </w:tabs>
        <w:ind w:left="851"/>
        <w:rPr>
          <w:sz w:val="24"/>
          <w:szCs w:val="24"/>
        </w:rPr>
      </w:pPr>
      <w:r>
        <w:rPr>
          <w:sz w:val="24"/>
          <w:szCs w:val="24"/>
        </w:rPr>
        <w:t>I</w:t>
      </w:r>
      <w:r w:rsidRPr="00851DF4">
        <w:rPr>
          <w:sz w:val="24"/>
          <w:szCs w:val="24"/>
        </w:rPr>
        <w:t xml:space="preserve"> salgspakning: 5 år</w:t>
      </w:r>
      <w:r>
        <w:rPr>
          <w:sz w:val="24"/>
          <w:szCs w:val="24"/>
        </w:rPr>
        <w:t>.</w:t>
      </w:r>
    </w:p>
    <w:p w:rsidR="00851DF4" w:rsidRDefault="00851DF4" w:rsidP="00851DF4">
      <w:pPr>
        <w:tabs>
          <w:tab w:val="left" w:pos="851"/>
        </w:tabs>
        <w:ind w:left="851"/>
        <w:rPr>
          <w:sz w:val="24"/>
          <w:szCs w:val="24"/>
        </w:rPr>
      </w:pPr>
    </w:p>
    <w:p w:rsidR="00851DF4" w:rsidRPr="00851DF4" w:rsidRDefault="00851DF4" w:rsidP="00851DF4">
      <w:pPr>
        <w:tabs>
          <w:tab w:val="left" w:pos="851"/>
        </w:tabs>
        <w:ind w:left="851"/>
        <w:rPr>
          <w:sz w:val="24"/>
          <w:szCs w:val="24"/>
        </w:rPr>
      </w:pPr>
      <w:r>
        <w:rPr>
          <w:sz w:val="24"/>
          <w:szCs w:val="24"/>
        </w:rPr>
        <w:t>D</w:t>
      </w:r>
      <w:r w:rsidRPr="00851DF4">
        <w:rPr>
          <w:sz w:val="24"/>
          <w:szCs w:val="24"/>
        </w:rPr>
        <w:t>elte tabletdele: 72 timer</w:t>
      </w:r>
      <w:r>
        <w:rPr>
          <w:sz w:val="24"/>
          <w:szCs w:val="24"/>
        </w:rPr>
        <w:t>.</w:t>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rsidR="00851DF4" w:rsidRPr="00851DF4" w:rsidRDefault="00851DF4" w:rsidP="00851DF4">
      <w:pPr>
        <w:tabs>
          <w:tab w:val="left" w:pos="851"/>
        </w:tabs>
        <w:ind w:left="851"/>
        <w:rPr>
          <w:sz w:val="24"/>
          <w:szCs w:val="24"/>
        </w:rPr>
      </w:pPr>
      <w:r w:rsidRPr="00851DF4">
        <w:rPr>
          <w:sz w:val="24"/>
          <w:szCs w:val="24"/>
        </w:rPr>
        <w:t xml:space="preserve">Opbevares i den originale blisterpakning.  </w:t>
      </w:r>
    </w:p>
    <w:p w:rsidR="00851DF4" w:rsidRPr="00851DF4" w:rsidRDefault="00851DF4" w:rsidP="00851DF4">
      <w:pPr>
        <w:tabs>
          <w:tab w:val="left" w:pos="851"/>
        </w:tabs>
        <w:ind w:left="851"/>
        <w:rPr>
          <w:sz w:val="24"/>
          <w:szCs w:val="24"/>
        </w:rPr>
      </w:pPr>
      <w:r w:rsidRPr="00851DF4">
        <w:rPr>
          <w:sz w:val="24"/>
          <w:szCs w:val="24"/>
        </w:rPr>
        <w:t>Opbevar blisterpakninge</w:t>
      </w:r>
      <w:r w:rsidR="003F5042">
        <w:rPr>
          <w:sz w:val="24"/>
          <w:szCs w:val="24"/>
        </w:rPr>
        <w:t>n</w:t>
      </w:r>
      <w:r w:rsidRPr="00851DF4">
        <w:rPr>
          <w:sz w:val="24"/>
          <w:szCs w:val="24"/>
        </w:rPr>
        <w:t xml:space="preserve"> i den ydre æske. </w:t>
      </w:r>
    </w:p>
    <w:p w:rsidR="00851DF4" w:rsidRPr="00851DF4" w:rsidRDefault="00851DF4" w:rsidP="00851DF4">
      <w:pPr>
        <w:tabs>
          <w:tab w:val="left" w:pos="851"/>
        </w:tabs>
        <w:ind w:left="851"/>
        <w:rPr>
          <w:sz w:val="24"/>
          <w:szCs w:val="24"/>
        </w:rPr>
      </w:pPr>
      <w:r w:rsidRPr="00851DF4">
        <w:rPr>
          <w:sz w:val="24"/>
          <w:szCs w:val="24"/>
        </w:rPr>
        <w:t>Opbevares tørt.</w:t>
      </w:r>
    </w:p>
    <w:p w:rsidR="00851DF4" w:rsidRDefault="00851DF4" w:rsidP="00851DF4">
      <w:pPr>
        <w:tabs>
          <w:tab w:val="left" w:pos="851"/>
        </w:tabs>
        <w:ind w:left="851"/>
        <w:rPr>
          <w:sz w:val="24"/>
          <w:szCs w:val="24"/>
        </w:rPr>
      </w:pPr>
    </w:p>
    <w:p w:rsidR="00851DF4" w:rsidRPr="00851DF4" w:rsidRDefault="00851DF4" w:rsidP="00851DF4">
      <w:pPr>
        <w:tabs>
          <w:tab w:val="left" w:pos="851"/>
        </w:tabs>
        <w:ind w:left="851"/>
        <w:rPr>
          <w:sz w:val="24"/>
          <w:szCs w:val="24"/>
        </w:rPr>
      </w:pPr>
      <w:r w:rsidRPr="00851DF4">
        <w:rPr>
          <w:sz w:val="24"/>
          <w:szCs w:val="24"/>
        </w:rPr>
        <w:t>Delte tabletter skal opbevares i blisterpakningen.</w:t>
      </w:r>
    </w:p>
    <w:p w:rsidR="008D0E20" w:rsidRDefault="008D0E20">
      <w:pPr>
        <w:rPr>
          <w:sz w:val="24"/>
          <w:szCs w:val="24"/>
        </w:rPr>
      </w:pPr>
      <w:r>
        <w:rPr>
          <w:sz w:val="24"/>
          <w:szCs w:val="24"/>
        </w:rPr>
        <w:br w:type="page"/>
      </w:r>
    </w:p>
    <w:p w:rsidR="008203A8" w:rsidRPr="00406EE7" w:rsidRDefault="008203A8" w:rsidP="008203A8">
      <w:pPr>
        <w:tabs>
          <w:tab w:val="left" w:pos="851"/>
        </w:tabs>
        <w:ind w:left="851"/>
        <w:rPr>
          <w:sz w:val="24"/>
          <w:szCs w:val="24"/>
        </w:rPr>
      </w:pPr>
    </w:p>
    <w:p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rsidR="00EE6CFF" w:rsidRDefault="003F5042" w:rsidP="003F5042">
      <w:pPr>
        <w:tabs>
          <w:tab w:val="left" w:pos="851"/>
        </w:tabs>
        <w:ind w:left="851"/>
        <w:rPr>
          <w:sz w:val="24"/>
          <w:szCs w:val="24"/>
        </w:rPr>
      </w:pPr>
      <w:r w:rsidRPr="003F5042">
        <w:rPr>
          <w:sz w:val="24"/>
          <w:szCs w:val="24"/>
        </w:rPr>
        <w:t xml:space="preserve">Polyvinylchlorid – polyvinylidendichlorid/aluminium-blister med 14 tabletter </w:t>
      </w:r>
      <w:bookmarkStart w:id="1" w:name="_Hlk121415346"/>
      <w:r w:rsidRPr="003F5042">
        <w:rPr>
          <w:sz w:val="24"/>
          <w:szCs w:val="24"/>
        </w:rPr>
        <w:t>i en papæske</w:t>
      </w:r>
      <w:r w:rsidR="00EE6CFF">
        <w:rPr>
          <w:sz w:val="24"/>
          <w:szCs w:val="24"/>
        </w:rPr>
        <w:t>.</w:t>
      </w:r>
    </w:p>
    <w:p w:rsidR="00EE6CFF" w:rsidRDefault="00EE6CFF" w:rsidP="003F5042">
      <w:pPr>
        <w:tabs>
          <w:tab w:val="left" w:pos="851"/>
        </w:tabs>
        <w:ind w:left="851"/>
        <w:rPr>
          <w:sz w:val="24"/>
          <w:szCs w:val="24"/>
        </w:rPr>
      </w:pPr>
    </w:p>
    <w:p w:rsidR="003F5042" w:rsidRPr="003F5042" w:rsidRDefault="00EE6CFF" w:rsidP="003F5042">
      <w:pPr>
        <w:tabs>
          <w:tab w:val="left" w:pos="851"/>
        </w:tabs>
        <w:ind w:left="851"/>
        <w:rPr>
          <w:sz w:val="24"/>
          <w:szCs w:val="24"/>
        </w:rPr>
      </w:pPr>
      <w:r>
        <w:rPr>
          <w:sz w:val="24"/>
          <w:szCs w:val="24"/>
        </w:rPr>
        <w:t xml:space="preserve">Pakningsstørrelser: </w:t>
      </w:r>
      <w:r w:rsidR="003F5042" w:rsidRPr="003F5042">
        <w:rPr>
          <w:sz w:val="24"/>
          <w:szCs w:val="24"/>
        </w:rPr>
        <w:t>4 blisterkort (56 tabletter</w:t>
      </w:r>
      <w:bookmarkEnd w:id="1"/>
      <w:r w:rsidR="003F5042" w:rsidRPr="003F5042">
        <w:rPr>
          <w:sz w:val="24"/>
          <w:szCs w:val="24"/>
        </w:rPr>
        <w:t>)</w:t>
      </w:r>
      <w:r>
        <w:rPr>
          <w:sz w:val="24"/>
          <w:szCs w:val="24"/>
        </w:rPr>
        <w:t xml:space="preserve"> og</w:t>
      </w:r>
      <w:r w:rsidR="003F5042" w:rsidRPr="003F5042">
        <w:rPr>
          <w:sz w:val="24"/>
          <w:szCs w:val="24"/>
        </w:rPr>
        <w:t xml:space="preserve"> 10 blisterkort (140 tabletter).</w:t>
      </w:r>
    </w:p>
    <w:p w:rsidR="003F5042" w:rsidRPr="003F5042" w:rsidRDefault="003F5042" w:rsidP="003F5042">
      <w:pPr>
        <w:tabs>
          <w:tab w:val="left" w:pos="851"/>
        </w:tabs>
        <w:ind w:left="851"/>
        <w:rPr>
          <w:sz w:val="24"/>
          <w:szCs w:val="24"/>
        </w:rPr>
      </w:pPr>
    </w:p>
    <w:p w:rsidR="003F5042" w:rsidRPr="003F5042" w:rsidRDefault="003F5042" w:rsidP="003F5042">
      <w:pPr>
        <w:tabs>
          <w:tab w:val="left" w:pos="851"/>
        </w:tabs>
        <w:ind w:left="851"/>
        <w:rPr>
          <w:sz w:val="24"/>
          <w:szCs w:val="24"/>
        </w:rPr>
      </w:pPr>
      <w:r w:rsidRPr="003F5042">
        <w:rPr>
          <w:sz w:val="24"/>
          <w:szCs w:val="24"/>
        </w:rPr>
        <w:t>Ikke alle pakningsstørrelser er nødvendigvis markedsført.</w:t>
      </w:r>
    </w:p>
    <w:p w:rsidR="008203A8" w:rsidRPr="00406EE7" w:rsidRDefault="008203A8" w:rsidP="008203A8">
      <w:pPr>
        <w:tabs>
          <w:tab w:val="left" w:pos="851"/>
        </w:tabs>
        <w:ind w:left="851"/>
        <w:rPr>
          <w:sz w:val="24"/>
          <w:szCs w:val="24"/>
        </w:rPr>
      </w:pPr>
    </w:p>
    <w:p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rsidR="008D0E20" w:rsidRPr="008D0E20" w:rsidRDefault="008D0E20" w:rsidP="008D0E20">
      <w:pPr>
        <w:tabs>
          <w:tab w:val="left" w:pos="851"/>
        </w:tabs>
        <w:ind w:left="851"/>
        <w:rPr>
          <w:sz w:val="24"/>
          <w:szCs w:val="24"/>
        </w:rPr>
      </w:pPr>
      <w:r w:rsidRPr="008D0E20">
        <w:rPr>
          <w:sz w:val="24"/>
          <w:szCs w:val="24"/>
        </w:rPr>
        <w:t>Lægemidler må ikke bortskaffes sammen med spildevand eller husholdningsaffald.</w:t>
      </w:r>
    </w:p>
    <w:p w:rsidR="008D0E20" w:rsidRPr="008D0E20" w:rsidRDefault="008D0E20" w:rsidP="008D0E20">
      <w:pPr>
        <w:tabs>
          <w:tab w:val="left" w:pos="851"/>
        </w:tabs>
        <w:ind w:left="851"/>
        <w:rPr>
          <w:sz w:val="24"/>
          <w:szCs w:val="24"/>
        </w:rPr>
      </w:pPr>
      <w:r w:rsidRPr="008D0E20">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8203A8"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rsidR="008D0E20" w:rsidRPr="008D0E20" w:rsidRDefault="008D0E20" w:rsidP="008D0E20">
      <w:pPr>
        <w:tabs>
          <w:tab w:val="left" w:pos="851"/>
        </w:tabs>
        <w:ind w:left="851"/>
        <w:rPr>
          <w:sz w:val="24"/>
          <w:szCs w:val="24"/>
        </w:rPr>
      </w:pPr>
      <w:bookmarkStart w:id="2" w:name="_Hlk135051561"/>
      <w:r w:rsidRPr="008D0E20">
        <w:rPr>
          <w:sz w:val="24"/>
          <w:szCs w:val="24"/>
        </w:rPr>
        <w:t>Wirtschaftsgenossenschaft deutscher Tier</w:t>
      </w:r>
      <w:r>
        <w:rPr>
          <w:sz w:val="24"/>
          <w:szCs w:val="24"/>
        </w:rPr>
        <w:t>ä</w:t>
      </w:r>
      <w:r w:rsidRPr="008D0E20">
        <w:rPr>
          <w:sz w:val="24"/>
          <w:szCs w:val="24"/>
        </w:rPr>
        <w:t>rzte eG</w:t>
      </w:r>
    </w:p>
    <w:p w:rsidR="008D0E20" w:rsidRPr="008D0E20" w:rsidRDefault="008D0E20" w:rsidP="008D0E20">
      <w:pPr>
        <w:tabs>
          <w:tab w:val="left" w:pos="851"/>
        </w:tabs>
        <w:ind w:left="851"/>
        <w:rPr>
          <w:sz w:val="24"/>
          <w:szCs w:val="24"/>
        </w:rPr>
      </w:pPr>
      <w:r w:rsidRPr="008D0E20">
        <w:rPr>
          <w:sz w:val="24"/>
          <w:szCs w:val="24"/>
        </w:rPr>
        <w:t>Siemensstrasse 14</w:t>
      </w:r>
    </w:p>
    <w:p w:rsidR="008D0E20" w:rsidRPr="008D0E20" w:rsidRDefault="008D0E20" w:rsidP="008D0E20">
      <w:pPr>
        <w:tabs>
          <w:tab w:val="left" w:pos="851"/>
        </w:tabs>
        <w:ind w:left="851"/>
        <w:rPr>
          <w:sz w:val="24"/>
          <w:szCs w:val="24"/>
        </w:rPr>
      </w:pPr>
      <w:r w:rsidRPr="008D0E20">
        <w:rPr>
          <w:sz w:val="24"/>
          <w:szCs w:val="24"/>
        </w:rPr>
        <w:t>30827 Garbsen</w:t>
      </w:r>
    </w:p>
    <w:p w:rsidR="008D0E20" w:rsidRPr="008D0E20" w:rsidRDefault="008D0E20" w:rsidP="008D0E20">
      <w:pPr>
        <w:tabs>
          <w:tab w:val="left" w:pos="851"/>
        </w:tabs>
        <w:ind w:left="851"/>
        <w:rPr>
          <w:sz w:val="24"/>
          <w:szCs w:val="24"/>
        </w:rPr>
      </w:pPr>
      <w:r w:rsidRPr="008D0E20">
        <w:rPr>
          <w:sz w:val="24"/>
          <w:szCs w:val="24"/>
        </w:rPr>
        <w:t>Germany</w:t>
      </w:r>
      <w:bookmarkEnd w:id="2"/>
    </w:p>
    <w:p w:rsidR="008203A8"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rsidR="008203A8" w:rsidRPr="00406EE7" w:rsidRDefault="00882DB2" w:rsidP="008203A8">
      <w:pPr>
        <w:tabs>
          <w:tab w:val="left" w:pos="851"/>
        </w:tabs>
        <w:ind w:left="851"/>
        <w:rPr>
          <w:sz w:val="24"/>
          <w:szCs w:val="24"/>
        </w:rPr>
      </w:pPr>
      <w:r>
        <w:rPr>
          <w:sz w:val="24"/>
          <w:szCs w:val="24"/>
        </w:rPr>
        <w:t>68802</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rsidR="008203A8" w:rsidRPr="00406EE7" w:rsidRDefault="00647B0A" w:rsidP="008203A8">
      <w:pPr>
        <w:tabs>
          <w:tab w:val="left" w:pos="851"/>
        </w:tabs>
        <w:ind w:left="851"/>
        <w:rPr>
          <w:sz w:val="24"/>
          <w:szCs w:val="24"/>
        </w:rPr>
      </w:pPr>
      <w:r>
        <w:rPr>
          <w:sz w:val="24"/>
          <w:szCs w:val="24"/>
        </w:rPr>
        <w:t>16. maj 2023</w:t>
      </w:r>
    </w:p>
    <w:p w:rsidR="008203A8" w:rsidRPr="00406EE7" w:rsidRDefault="008203A8" w:rsidP="008203A8">
      <w:pPr>
        <w:tabs>
          <w:tab w:val="left" w:pos="851"/>
        </w:tabs>
        <w:ind w:left="851"/>
        <w:rPr>
          <w:sz w:val="24"/>
          <w:szCs w:val="24"/>
        </w:rPr>
      </w:pPr>
      <w:bookmarkStart w:id="3" w:name="_GoBack"/>
      <w:bookmarkEnd w:id="3"/>
    </w:p>
    <w:p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rsidR="008203A8" w:rsidRPr="00406EE7" w:rsidRDefault="00882DB2" w:rsidP="008203A8">
      <w:pPr>
        <w:tabs>
          <w:tab w:val="left" w:pos="851"/>
        </w:tabs>
        <w:ind w:left="851"/>
        <w:rPr>
          <w:sz w:val="24"/>
          <w:szCs w:val="24"/>
        </w:rPr>
      </w:pPr>
      <w:r>
        <w:rPr>
          <w:sz w:val="24"/>
          <w:szCs w:val="24"/>
        </w:rPr>
        <w:t>-</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rsidR="0003527F" w:rsidRDefault="00882DB2" w:rsidP="00F05E07">
      <w:pPr>
        <w:pStyle w:val="Sidehoved"/>
        <w:tabs>
          <w:tab w:val="clear" w:pos="4819"/>
          <w:tab w:val="left" w:pos="851"/>
        </w:tabs>
        <w:ind w:left="851"/>
        <w:rPr>
          <w:szCs w:val="24"/>
        </w:rPr>
      </w:pPr>
      <w:r>
        <w:rPr>
          <w:szCs w:val="24"/>
        </w:rPr>
        <w:t>B</w:t>
      </w:r>
    </w:p>
    <w:p w:rsidR="00D70E56" w:rsidRDefault="00D70E56" w:rsidP="00F05E07">
      <w:pPr>
        <w:pStyle w:val="Sidehoved"/>
        <w:tabs>
          <w:tab w:val="clear" w:pos="4819"/>
          <w:tab w:val="left" w:pos="851"/>
        </w:tabs>
        <w:ind w:left="851"/>
        <w:rPr>
          <w:szCs w:val="24"/>
        </w:rPr>
      </w:pPr>
    </w:p>
    <w:p w:rsidR="00D70E56" w:rsidRPr="00F05E07" w:rsidRDefault="00D70E56" w:rsidP="00647B0A">
      <w:pPr>
        <w:pStyle w:val="Sidehoved"/>
        <w:tabs>
          <w:tab w:val="left" w:pos="851"/>
        </w:tabs>
        <w:ind w:left="851"/>
        <w:rPr>
          <w:szCs w:val="24"/>
        </w:rPr>
      </w:pPr>
      <w:r w:rsidRPr="00371D08">
        <w:rPr>
          <w:szCs w:val="24"/>
        </w:rPr>
        <w:t>Der findes detaljerede oplysninger om dette veterinærlægemiddel i EU-lægemiddeldatabasen.</w:t>
      </w:r>
    </w:p>
    <w:sectPr w:rsidR="00D70E56" w:rsidRPr="00F05E07"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B4C" w:rsidRDefault="000F0B4C">
      <w:r>
        <w:separator/>
      </w:r>
    </w:p>
  </w:endnote>
  <w:endnote w:type="continuationSeparator" w:id="0">
    <w:p w:rsidR="000F0B4C" w:rsidRDefault="000F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64FAF">
      <w:rPr>
        <w:i/>
        <w:noProof/>
        <w:snapToGrid w:val="0"/>
        <w:sz w:val="18"/>
      </w:rPr>
      <w:t>Vitofyllin, tabletter 50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64FAF">
      <w:rPr>
        <w:i/>
        <w:noProof/>
        <w:snapToGrid w:val="0"/>
        <w:sz w:val="18"/>
      </w:rPr>
      <w:t>Vitofyllin, tabletter 50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B4C" w:rsidRDefault="000F0B4C">
      <w:r>
        <w:separator/>
      </w:r>
    </w:p>
  </w:footnote>
  <w:footnote w:type="continuationSeparator" w:id="0">
    <w:p w:rsidR="000F0B4C" w:rsidRDefault="000F0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4C"/>
    <w:rsid w:val="00001974"/>
    <w:rsid w:val="000241E8"/>
    <w:rsid w:val="0003527F"/>
    <w:rsid w:val="0004390D"/>
    <w:rsid w:val="0005355A"/>
    <w:rsid w:val="00064FAF"/>
    <w:rsid w:val="00065C7D"/>
    <w:rsid w:val="00092AFF"/>
    <w:rsid w:val="000A604B"/>
    <w:rsid w:val="000B102C"/>
    <w:rsid w:val="000C6CD4"/>
    <w:rsid w:val="000F0B4C"/>
    <w:rsid w:val="00131D7A"/>
    <w:rsid w:val="001577E4"/>
    <w:rsid w:val="001623D2"/>
    <w:rsid w:val="00162A88"/>
    <w:rsid w:val="00173F52"/>
    <w:rsid w:val="0018534D"/>
    <w:rsid w:val="001858CA"/>
    <w:rsid w:val="001869DB"/>
    <w:rsid w:val="001903E6"/>
    <w:rsid w:val="001C4AEF"/>
    <w:rsid w:val="001D3CC5"/>
    <w:rsid w:val="001E152B"/>
    <w:rsid w:val="001F38C9"/>
    <w:rsid w:val="00202A14"/>
    <w:rsid w:val="00207C0E"/>
    <w:rsid w:val="002C3E74"/>
    <w:rsid w:val="002E304C"/>
    <w:rsid w:val="002E7439"/>
    <w:rsid w:val="002F3591"/>
    <w:rsid w:val="00322BDE"/>
    <w:rsid w:val="00340679"/>
    <w:rsid w:val="00371CA6"/>
    <w:rsid w:val="00383417"/>
    <w:rsid w:val="003E4B6F"/>
    <w:rsid w:val="003F5042"/>
    <w:rsid w:val="00406EE7"/>
    <w:rsid w:val="00407013"/>
    <w:rsid w:val="00412537"/>
    <w:rsid w:val="00415D7C"/>
    <w:rsid w:val="00417225"/>
    <w:rsid w:val="00451FEF"/>
    <w:rsid w:val="004A62CC"/>
    <w:rsid w:val="004B795E"/>
    <w:rsid w:val="004C733C"/>
    <w:rsid w:val="00514C36"/>
    <w:rsid w:val="00565A74"/>
    <w:rsid w:val="005A02E2"/>
    <w:rsid w:val="005B0036"/>
    <w:rsid w:val="005D1DAA"/>
    <w:rsid w:val="005E336B"/>
    <w:rsid w:val="005F5831"/>
    <w:rsid w:val="00601E64"/>
    <w:rsid w:val="0061389F"/>
    <w:rsid w:val="00614110"/>
    <w:rsid w:val="00627236"/>
    <w:rsid w:val="00633A39"/>
    <w:rsid w:val="00646A5F"/>
    <w:rsid w:val="00647B0A"/>
    <w:rsid w:val="00650666"/>
    <w:rsid w:val="00662012"/>
    <w:rsid w:val="00666B01"/>
    <w:rsid w:val="00687CE3"/>
    <w:rsid w:val="00696BF6"/>
    <w:rsid w:val="006B1539"/>
    <w:rsid w:val="006C2FE7"/>
    <w:rsid w:val="006E5165"/>
    <w:rsid w:val="006F0D27"/>
    <w:rsid w:val="006F5621"/>
    <w:rsid w:val="00701164"/>
    <w:rsid w:val="0071651B"/>
    <w:rsid w:val="00727C0A"/>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45C23"/>
    <w:rsid w:val="008509BB"/>
    <w:rsid w:val="00851D7F"/>
    <w:rsid w:val="00851DF4"/>
    <w:rsid w:val="008803C5"/>
    <w:rsid w:val="00882DB2"/>
    <w:rsid w:val="008A2FDF"/>
    <w:rsid w:val="008B394F"/>
    <w:rsid w:val="008D0E20"/>
    <w:rsid w:val="008E4866"/>
    <w:rsid w:val="009202AE"/>
    <w:rsid w:val="00942FB8"/>
    <w:rsid w:val="00956B89"/>
    <w:rsid w:val="00960F5F"/>
    <w:rsid w:val="00967486"/>
    <w:rsid w:val="009D66C6"/>
    <w:rsid w:val="009E300C"/>
    <w:rsid w:val="009E5184"/>
    <w:rsid w:val="009F1F5E"/>
    <w:rsid w:val="009F5637"/>
    <w:rsid w:val="00A31E52"/>
    <w:rsid w:val="00A74A8A"/>
    <w:rsid w:val="00A85606"/>
    <w:rsid w:val="00A86C63"/>
    <w:rsid w:val="00A957A6"/>
    <w:rsid w:val="00A96525"/>
    <w:rsid w:val="00AA0D25"/>
    <w:rsid w:val="00AC012D"/>
    <w:rsid w:val="00AD4D77"/>
    <w:rsid w:val="00AE29E5"/>
    <w:rsid w:val="00AE5757"/>
    <w:rsid w:val="00B25EB8"/>
    <w:rsid w:val="00B31874"/>
    <w:rsid w:val="00B764E3"/>
    <w:rsid w:val="00B85456"/>
    <w:rsid w:val="00B87267"/>
    <w:rsid w:val="00B93A25"/>
    <w:rsid w:val="00BC634B"/>
    <w:rsid w:val="00BF2AE0"/>
    <w:rsid w:val="00C41394"/>
    <w:rsid w:val="00C479BF"/>
    <w:rsid w:val="00C66C59"/>
    <w:rsid w:val="00C838AB"/>
    <w:rsid w:val="00C83AA2"/>
    <w:rsid w:val="00CB43DB"/>
    <w:rsid w:val="00CE3A44"/>
    <w:rsid w:val="00CE3F86"/>
    <w:rsid w:val="00CF75B4"/>
    <w:rsid w:val="00D10EE1"/>
    <w:rsid w:val="00D14DBC"/>
    <w:rsid w:val="00D43378"/>
    <w:rsid w:val="00D70E56"/>
    <w:rsid w:val="00D87E2B"/>
    <w:rsid w:val="00D910BA"/>
    <w:rsid w:val="00D96D04"/>
    <w:rsid w:val="00DD6D71"/>
    <w:rsid w:val="00DF32BE"/>
    <w:rsid w:val="00E14F0A"/>
    <w:rsid w:val="00E16209"/>
    <w:rsid w:val="00E321D6"/>
    <w:rsid w:val="00E323FB"/>
    <w:rsid w:val="00E347A2"/>
    <w:rsid w:val="00E61E78"/>
    <w:rsid w:val="00E84DC6"/>
    <w:rsid w:val="00EB5778"/>
    <w:rsid w:val="00EE14EA"/>
    <w:rsid w:val="00EE1A3E"/>
    <w:rsid w:val="00EE5253"/>
    <w:rsid w:val="00EE6CFF"/>
    <w:rsid w:val="00EF3C59"/>
    <w:rsid w:val="00F05E07"/>
    <w:rsid w:val="00F36781"/>
    <w:rsid w:val="00F41E3A"/>
    <w:rsid w:val="00F60B72"/>
    <w:rsid w:val="00FA2112"/>
    <w:rsid w:val="00FA3E7E"/>
    <w:rsid w:val="00FA66E4"/>
    <w:rsid w:val="00FC6729"/>
    <w:rsid w:val="00FD6433"/>
    <w:rsid w:val="00FE67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E02EA"/>
  <w15:chartTrackingRefBased/>
  <w15:docId w15:val="{E5C67E22-4D2A-4276-A416-AB4CCEC8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44840988">
      <w:bodyDiv w:val="1"/>
      <w:marLeft w:val="0"/>
      <w:marRight w:val="0"/>
      <w:marTop w:val="0"/>
      <w:marBottom w:val="0"/>
      <w:divBdr>
        <w:top w:val="none" w:sz="0" w:space="0" w:color="auto"/>
        <w:left w:val="none" w:sz="0" w:space="0" w:color="auto"/>
        <w:bottom w:val="none" w:sz="0" w:space="0" w:color="auto"/>
        <w:right w:val="none" w:sz="0" w:space="0" w:color="auto"/>
      </w:divBdr>
    </w:div>
    <w:div w:id="52045373">
      <w:bodyDiv w:val="1"/>
      <w:marLeft w:val="0"/>
      <w:marRight w:val="0"/>
      <w:marTop w:val="0"/>
      <w:marBottom w:val="0"/>
      <w:divBdr>
        <w:top w:val="none" w:sz="0" w:space="0" w:color="auto"/>
        <w:left w:val="none" w:sz="0" w:space="0" w:color="auto"/>
        <w:bottom w:val="none" w:sz="0" w:space="0" w:color="auto"/>
        <w:right w:val="none" w:sz="0" w:space="0" w:color="auto"/>
      </w:divBdr>
    </w:div>
    <w:div w:id="58866213">
      <w:bodyDiv w:val="1"/>
      <w:marLeft w:val="0"/>
      <w:marRight w:val="0"/>
      <w:marTop w:val="0"/>
      <w:marBottom w:val="0"/>
      <w:divBdr>
        <w:top w:val="none" w:sz="0" w:space="0" w:color="auto"/>
        <w:left w:val="none" w:sz="0" w:space="0" w:color="auto"/>
        <w:bottom w:val="none" w:sz="0" w:space="0" w:color="auto"/>
        <w:right w:val="none" w:sz="0" w:space="0" w:color="auto"/>
      </w:divBdr>
    </w:div>
    <w:div w:id="102968417">
      <w:bodyDiv w:val="1"/>
      <w:marLeft w:val="0"/>
      <w:marRight w:val="0"/>
      <w:marTop w:val="0"/>
      <w:marBottom w:val="0"/>
      <w:divBdr>
        <w:top w:val="none" w:sz="0" w:space="0" w:color="auto"/>
        <w:left w:val="none" w:sz="0" w:space="0" w:color="auto"/>
        <w:bottom w:val="none" w:sz="0" w:space="0" w:color="auto"/>
        <w:right w:val="none" w:sz="0" w:space="0" w:color="auto"/>
      </w:divBdr>
    </w:div>
    <w:div w:id="13048574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10578126">
      <w:bodyDiv w:val="1"/>
      <w:marLeft w:val="0"/>
      <w:marRight w:val="0"/>
      <w:marTop w:val="0"/>
      <w:marBottom w:val="0"/>
      <w:divBdr>
        <w:top w:val="none" w:sz="0" w:space="0" w:color="auto"/>
        <w:left w:val="none" w:sz="0" w:space="0" w:color="auto"/>
        <w:bottom w:val="none" w:sz="0" w:space="0" w:color="auto"/>
        <w:right w:val="none" w:sz="0" w:space="0" w:color="auto"/>
      </w:divBdr>
    </w:div>
    <w:div w:id="212891697">
      <w:bodyDiv w:val="1"/>
      <w:marLeft w:val="0"/>
      <w:marRight w:val="0"/>
      <w:marTop w:val="0"/>
      <w:marBottom w:val="0"/>
      <w:divBdr>
        <w:top w:val="none" w:sz="0" w:space="0" w:color="auto"/>
        <w:left w:val="none" w:sz="0" w:space="0" w:color="auto"/>
        <w:bottom w:val="none" w:sz="0" w:space="0" w:color="auto"/>
        <w:right w:val="none" w:sz="0" w:space="0" w:color="auto"/>
      </w:divBdr>
    </w:div>
    <w:div w:id="213857130">
      <w:bodyDiv w:val="1"/>
      <w:marLeft w:val="0"/>
      <w:marRight w:val="0"/>
      <w:marTop w:val="0"/>
      <w:marBottom w:val="0"/>
      <w:divBdr>
        <w:top w:val="none" w:sz="0" w:space="0" w:color="auto"/>
        <w:left w:val="none" w:sz="0" w:space="0" w:color="auto"/>
        <w:bottom w:val="none" w:sz="0" w:space="0" w:color="auto"/>
        <w:right w:val="none" w:sz="0" w:space="0" w:color="auto"/>
      </w:divBdr>
    </w:div>
    <w:div w:id="267780406">
      <w:bodyDiv w:val="1"/>
      <w:marLeft w:val="0"/>
      <w:marRight w:val="0"/>
      <w:marTop w:val="0"/>
      <w:marBottom w:val="0"/>
      <w:divBdr>
        <w:top w:val="none" w:sz="0" w:space="0" w:color="auto"/>
        <w:left w:val="none" w:sz="0" w:space="0" w:color="auto"/>
        <w:bottom w:val="none" w:sz="0" w:space="0" w:color="auto"/>
        <w:right w:val="none" w:sz="0" w:space="0" w:color="auto"/>
      </w:divBdr>
    </w:div>
    <w:div w:id="292447434">
      <w:bodyDiv w:val="1"/>
      <w:marLeft w:val="0"/>
      <w:marRight w:val="0"/>
      <w:marTop w:val="0"/>
      <w:marBottom w:val="0"/>
      <w:divBdr>
        <w:top w:val="none" w:sz="0" w:space="0" w:color="auto"/>
        <w:left w:val="none" w:sz="0" w:space="0" w:color="auto"/>
        <w:bottom w:val="none" w:sz="0" w:space="0" w:color="auto"/>
        <w:right w:val="none" w:sz="0" w:space="0" w:color="auto"/>
      </w:divBdr>
    </w:div>
    <w:div w:id="367723624">
      <w:bodyDiv w:val="1"/>
      <w:marLeft w:val="0"/>
      <w:marRight w:val="0"/>
      <w:marTop w:val="0"/>
      <w:marBottom w:val="0"/>
      <w:divBdr>
        <w:top w:val="none" w:sz="0" w:space="0" w:color="auto"/>
        <w:left w:val="none" w:sz="0" w:space="0" w:color="auto"/>
        <w:bottom w:val="none" w:sz="0" w:space="0" w:color="auto"/>
        <w:right w:val="none" w:sz="0" w:space="0" w:color="auto"/>
      </w:divBdr>
    </w:div>
    <w:div w:id="455298849">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17282806">
      <w:bodyDiv w:val="1"/>
      <w:marLeft w:val="0"/>
      <w:marRight w:val="0"/>
      <w:marTop w:val="0"/>
      <w:marBottom w:val="0"/>
      <w:divBdr>
        <w:top w:val="none" w:sz="0" w:space="0" w:color="auto"/>
        <w:left w:val="none" w:sz="0" w:space="0" w:color="auto"/>
        <w:bottom w:val="none" w:sz="0" w:space="0" w:color="auto"/>
        <w:right w:val="none" w:sz="0" w:space="0" w:color="auto"/>
      </w:divBdr>
    </w:div>
    <w:div w:id="527986239">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20302027">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58656952">
      <w:bodyDiv w:val="1"/>
      <w:marLeft w:val="0"/>
      <w:marRight w:val="0"/>
      <w:marTop w:val="0"/>
      <w:marBottom w:val="0"/>
      <w:divBdr>
        <w:top w:val="none" w:sz="0" w:space="0" w:color="auto"/>
        <w:left w:val="none" w:sz="0" w:space="0" w:color="auto"/>
        <w:bottom w:val="none" w:sz="0" w:space="0" w:color="auto"/>
        <w:right w:val="none" w:sz="0" w:space="0" w:color="auto"/>
      </w:divBdr>
    </w:div>
    <w:div w:id="71350793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034115633">
      <w:bodyDiv w:val="1"/>
      <w:marLeft w:val="0"/>
      <w:marRight w:val="0"/>
      <w:marTop w:val="0"/>
      <w:marBottom w:val="0"/>
      <w:divBdr>
        <w:top w:val="none" w:sz="0" w:space="0" w:color="auto"/>
        <w:left w:val="none" w:sz="0" w:space="0" w:color="auto"/>
        <w:bottom w:val="none" w:sz="0" w:space="0" w:color="auto"/>
        <w:right w:val="none" w:sz="0" w:space="0" w:color="auto"/>
      </w:divBdr>
    </w:div>
    <w:div w:id="1074471261">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37861094">
      <w:bodyDiv w:val="1"/>
      <w:marLeft w:val="0"/>
      <w:marRight w:val="0"/>
      <w:marTop w:val="0"/>
      <w:marBottom w:val="0"/>
      <w:divBdr>
        <w:top w:val="none" w:sz="0" w:space="0" w:color="auto"/>
        <w:left w:val="none" w:sz="0" w:space="0" w:color="auto"/>
        <w:bottom w:val="none" w:sz="0" w:space="0" w:color="auto"/>
        <w:right w:val="none" w:sz="0" w:space="0" w:color="auto"/>
      </w:divBdr>
    </w:div>
    <w:div w:id="1367632408">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667040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53273434">
      <w:bodyDiv w:val="1"/>
      <w:marLeft w:val="0"/>
      <w:marRight w:val="0"/>
      <w:marTop w:val="0"/>
      <w:marBottom w:val="0"/>
      <w:divBdr>
        <w:top w:val="none" w:sz="0" w:space="0" w:color="auto"/>
        <w:left w:val="none" w:sz="0" w:space="0" w:color="auto"/>
        <w:bottom w:val="none" w:sz="0" w:space="0" w:color="auto"/>
        <w:right w:val="none" w:sz="0" w:space="0" w:color="auto"/>
      </w:divBdr>
    </w:div>
    <w:div w:id="1578782151">
      <w:bodyDiv w:val="1"/>
      <w:marLeft w:val="0"/>
      <w:marRight w:val="0"/>
      <w:marTop w:val="0"/>
      <w:marBottom w:val="0"/>
      <w:divBdr>
        <w:top w:val="none" w:sz="0" w:space="0" w:color="auto"/>
        <w:left w:val="none" w:sz="0" w:space="0" w:color="auto"/>
        <w:bottom w:val="none" w:sz="0" w:space="0" w:color="auto"/>
        <w:right w:val="none" w:sz="0" w:space="0" w:color="auto"/>
      </w:divBdr>
    </w:div>
    <w:div w:id="1683119045">
      <w:bodyDiv w:val="1"/>
      <w:marLeft w:val="0"/>
      <w:marRight w:val="0"/>
      <w:marTop w:val="0"/>
      <w:marBottom w:val="0"/>
      <w:divBdr>
        <w:top w:val="none" w:sz="0" w:space="0" w:color="auto"/>
        <w:left w:val="none" w:sz="0" w:space="0" w:color="auto"/>
        <w:bottom w:val="none" w:sz="0" w:space="0" w:color="auto"/>
        <w:right w:val="none" w:sz="0" w:space="0" w:color="auto"/>
      </w:divBdr>
    </w:div>
    <w:div w:id="1690718234">
      <w:bodyDiv w:val="1"/>
      <w:marLeft w:val="0"/>
      <w:marRight w:val="0"/>
      <w:marTop w:val="0"/>
      <w:marBottom w:val="0"/>
      <w:divBdr>
        <w:top w:val="none" w:sz="0" w:space="0" w:color="auto"/>
        <w:left w:val="none" w:sz="0" w:space="0" w:color="auto"/>
        <w:bottom w:val="none" w:sz="0" w:space="0" w:color="auto"/>
        <w:right w:val="none" w:sz="0" w:space="0" w:color="auto"/>
      </w:divBdr>
    </w:div>
    <w:div w:id="1705205156">
      <w:bodyDiv w:val="1"/>
      <w:marLeft w:val="0"/>
      <w:marRight w:val="0"/>
      <w:marTop w:val="0"/>
      <w:marBottom w:val="0"/>
      <w:divBdr>
        <w:top w:val="none" w:sz="0" w:space="0" w:color="auto"/>
        <w:left w:val="none" w:sz="0" w:space="0" w:color="auto"/>
        <w:bottom w:val="none" w:sz="0" w:space="0" w:color="auto"/>
        <w:right w:val="none" w:sz="0" w:space="0" w:color="auto"/>
      </w:divBdr>
    </w:div>
    <w:div w:id="1782072275">
      <w:bodyDiv w:val="1"/>
      <w:marLeft w:val="0"/>
      <w:marRight w:val="0"/>
      <w:marTop w:val="0"/>
      <w:marBottom w:val="0"/>
      <w:divBdr>
        <w:top w:val="none" w:sz="0" w:space="0" w:color="auto"/>
        <w:left w:val="none" w:sz="0" w:space="0" w:color="auto"/>
        <w:bottom w:val="none" w:sz="0" w:space="0" w:color="auto"/>
        <w:right w:val="none" w:sz="0" w:space="0" w:color="auto"/>
      </w:divBdr>
    </w:div>
    <w:div w:id="1834568715">
      <w:bodyDiv w:val="1"/>
      <w:marLeft w:val="0"/>
      <w:marRight w:val="0"/>
      <w:marTop w:val="0"/>
      <w:marBottom w:val="0"/>
      <w:divBdr>
        <w:top w:val="none" w:sz="0" w:space="0" w:color="auto"/>
        <w:left w:val="none" w:sz="0" w:space="0" w:color="auto"/>
        <w:bottom w:val="none" w:sz="0" w:space="0" w:color="auto"/>
        <w:right w:val="none" w:sz="0" w:space="0" w:color="auto"/>
      </w:divBdr>
    </w:div>
    <w:div w:id="1875380547">
      <w:bodyDiv w:val="1"/>
      <w:marLeft w:val="0"/>
      <w:marRight w:val="0"/>
      <w:marTop w:val="0"/>
      <w:marBottom w:val="0"/>
      <w:divBdr>
        <w:top w:val="none" w:sz="0" w:space="0" w:color="auto"/>
        <w:left w:val="none" w:sz="0" w:space="0" w:color="auto"/>
        <w:bottom w:val="none" w:sz="0" w:space="0" w:color="auto"/>
        <w:right w:val="none" w:sz="0" w:space="0" w:color="auto"/>
      </w:divBdr>
    </w:div>
    <w:div w:id="2121953797">
      <w:bodyDiv w:val="1"/>
      <w:marLeft w:val="0"/>
      <w:marRight w:val="0"/>
      <w:marTop w:val="0"/>
      <w:marBottom w:val="0"/>
      <w:divBdr>
        <w:top w:val="none" w:sz="0" w:space="0" w:color="auto"/>
        <w:left w:val="none" w:sz="0" w:space="0" w:color="auto"/>
        <w:bottom w:val="none" w:sz="0" w:space="0" w:color="auto"/>
        <w:right w:val="none" w:sz="0" w:space="0" w:color="auto"/>
      </w:divBdr>
    </w:div>
    <w:div w:id="214403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57001-FBBB-4E90-B5C3-BC7EF24D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167-00-SKB SPC Vet skabelon (NY-QRDv9)</Template>
  <TotalTime>41</TotalTime>
  <Pages>5</Pages>
  <Words>1030</Words>
  <Characters>6290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Hanne Thy Iversen</dc:creator>
  <cp:keywords/>
  <dc:description>2022120526 mt</dc:description>
  <cp:lastModifiedBy>Hanne Thy Iversen</cp:lastModifiedBy>
  <cp:revision>6</cp:revision>
  <cp:lastPrinted>2022-05-18T14:03:00Z</cp:lastPrinted>
  <dcterms:created xsi:type="dcterms:W3CDTF">2023-05-15T12:32:00Z</dcterms:created>
  <dcterms:modified xsi:type="dcterms:W3CDTF">2023-05-16T07:56:00Z</dcterms:modified>
</cp:coreProperties>
</file>