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AC4" w:rsidRDefault="00111AC4" w:rsidP="00111AC4">
      <w:pPr>
        <w:tabs>
          <w:tab w:val="left" w:pos="6804"/>
        </w:tabs>
        <w:rPr>
          <w:b/>
        </w:rPr>
      </w:pPr>
      <w:r>
        <w:rPr>
          <w:b/>
          <w:noProof/>
          <w:lang w:eastAsia="da-DK"/>
        </w:rPr>
        <w:drawing>
          <wp:inline distT="0" distB="0" distL="0" distR="0" wp14:anchorId="11CD78BC" wp14:editId="129D729B">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111AC4" w:rsidRDefault="00111AC4" w:rsidP="00111AC4">
      <w:pPr>
        <w:tabs>
          <w:tab w:val="left" w:pos="6804"/>
        </w:tabs>
        <w:rPr>
          <w:b/>
        </w:rPr>
      </w:pPr>
    </w:p>
    <w:p w:rsidR="00111AC4" w:rsidRPr="008B6E0A" w:rsidRDefault="00FB6EBF" w:rsidP="00111AC4">
      <w:pPr>
        <w:tabs>
          <w:tab w:val="left" w:pos="6804"/>
        </w:tabs>
        <w:jc w:val="right"/>
        <w:rPr>
          <w:b/>
          <w:sz w:val="24"/>
          <w:szCs w:val="24"/>
        </w:rPr>
      </w:pPr>
      <w:r>
        <w:rPr>
          <w:b/>
          <w:sz w:val="24"/>
          <w:szCs w:val="24"/>
        </w:rPr>
        <w:t>21</w:t>
      </w:r>
      <w:r w:rsidR="004466F3">
        <w:rPr>
          <w:b/>
          <w:sz w:val="24"/>
          <w:szCs w:val="24"/>
        </w:rPr>
        <w:t>. december 2023</w:t>
      </w:r>
    </w:p>
    <w:p w:rsidR="00111AC4" w:rsidRDefault="00111AC4" w:rsidP="00111AC4">
      <w:pPr>
        <w:tabs>
          <w:tab w:val="left" w:pos="8222"/>
        </w:tabs>
        <w:rPr>
          <w:sz w:val="24"/>
          <w:szCs w:val="24"/>
        </w:rPr>
      </w:pPr>
    </w:p>
    <w:p w:rsidR="008B6E0A" w:rsidRDefault="008B6E0A" w:rsidP="00111AC4">
      <w:pPr>
        <w:tabs>
          <w:tab w:val="left" w:pos="8222"/>
        </w:tabs>
        <w:rPr>
          <w:sz w:val="24"/>
          <w:szCs w:val="24"/>
        </w:rPr>
      </w:pPr>
    </w:p>
    <w:p w:rsidR="00111AC4" w:rsidRDefault="00111AC4" w:rsidP="00111AC4">
      <w:pPr>
        <w:tabs>
          <w:tab w:val="left" w:pos="8222"/>
        </w:tabs>
        <w:jc w:val="center"/>
        <w:rPr>
          <w:b/>
          <w:sz w:val="24"/>
          <w:szCs w:val="24"/>
        </w:rPr>
      </w:pPr>
      <w:r>
        <w:rPr>
          <w:b/>
          <w:sz w:val="24"/>
          <w:szCs w:val="24"/>
        </w:rPr>
        <w:t>PRODUKTRESUMÉ</w:t>
      </w:r>
    </w:p>
    <w:p w:rsidR="00111AC4" w:rsidRDefault="00111AC4" w:rsidP="00111AC4">
      <w:pPr>
        <w:tabs>
          <w:tab w:val="left" w:pos="8222"/>
        </w:tabs>
        <w:jc w:val="center"/>
        <w:rPr>
          <w:b/>
          <w:sz w:val="24"/>
          <w:szCs w:val="24"/>
        </w:rPr>
      </w:pPr>
    </w:p>
    <w:p w:rsidR="00111AC4" w:rsidRDefault="008913D6" w:rsidP="008913D6">
      <w:pPr>
        <w:tabs>
          <w:tab w:val="left" w:pos="210"/>
          <w:tab w:val="center" w:pos="4819"/>
          <w:tab w:val="left" w:pos="8222"/>
        </w:tabs>
        <w:rPr>
          <w:b/>
          <w:sz w:val="24"/>
          <w:szCs w:val="24"/>
        </w:rPr>
      </w:pPr>
      <w:r>
        <w:rPr>
          <w:b/>
          <w:sz w:val="24"/>
          <w:szCs w:val="24"/>
        </w:rPr>
        <w:tab/>
      </w:r>
      <w:r>
        <w:rPr>
          <w:b/>
          <w:sz w:val="24"/>
          <w:szCs w:val="24"/>
        </w:rPr>
        <w:tab/>
      </w:r>
      <w:r w:rsidR="00111AC4">
        <w:rPr>
          <w:b/>
          <w:sz w:val="24"/>
          <w:szCs w:val="24"/>
        </w:rPr>
        <w:t>for</w:t>
      </w:r>
    </w:p>
    <w:p w:rsidR="00111AC4" w:rsidRDefault="00111AC4" w:rsidP="00111AC4">
      <w:pPr>
        <w:tabs>
          <w:tab w:val="left" w:pos="8222"/>
        </w:tabs>
        <w:jc w:val="center"/>
        <w:rPr>
          <w:b/>
          <w:sz w:val="24"/>
          <w:szCs w:val="24"/>
        </w:rPr>
      </w:pPr>
    </w:p>
    <w:p w:rsidR="00111AC4" w:rsidRDefault="00111AC4" w:rsidP="00111AC4">
      <w:pPr>
        <w:tabs>
          <w:tab w:val="left" w:pos="8222"/>
        </w:tabs>
        <w:jc w:val="center"/>
        <w:rPr>
          <w:b/>
          <w:sz w:val="24"/>
          <w:szCs w:val="24"/>
        </w:rPr>
      </w:pPr>
      <w:proofErr w:type="spellStart"/>
      <w:r>
        <w:rPr>
          <w:b/>
          <w:sz w:val="24"/>
          <w:szCs w:val="24"/>
        </w:rPr>
        <w:t>Wellicox</w:t>
      </w:r>
      <w:proofErr w:type="spellEnd"/>
      <w:r>
        <w:rPr>
          <w:b/>
          <w:sz w:val="24"/>
          <w:szCs w:val="24"/>
        </w:rPr>
        <w:t>, injektionsvæske, opløsning</w:t>
      </w:r>
    </w:p>
    <w:p w:rsidR="00111AC4" w:rsidRDefault="00111AC4" w:rsidP="00111AC4">
      <w:pPr>
        <w:tabs>
          <w:tab w:val="left" w:pos="8222"/>
        </w:tabs>
        <w:jc w:val="both"/>
        <w:rPr>
          <w:sz w:val="24"/>
          <w:szCs w:val="24"/>
        </w:rPr>
      </w:pPr>
    </w:p>
    <w:p w:rsidR="00111AC4" w:rsidRPr="00043232" w:rsidRDefault="00111AC4" w:rsidP="00111AC4">
      <w:pPr>
        <w:ind w:left="851" w:hanging="851"/>
        <w:jc w:val="both"/>
        <w:rPr>
          <w:sz w:val="24"/>
          <w:szCs w:val="24"/>
        </w:rPr>
      </w:pPr>
    </w:p>
    <w:p w:rsidR="00111AC4" w:rsidRPr="00043232" w:rsidRDefault="00111AC4" w:rsidP="00111AC4">
      <w:pPr>
        <w:ind w:left="851" w:hanging="851"/>
        <w:rPr>
          <w:b/>
          <w:sz w:val="24"/>
          <w:szCs w:val="24"/>
        </w:rPr>
      </w:pPr>
      <w:r w:rsidRPr="00043232">
        <w:rPr>
          <w:b/>
          <w:sz w:val="24"/>
          <w:szCs w:val="24"/>
        </w:rPr>
        <w:t>0.</w:t>
      </w:r>
      <w:r w:rsidRPr="00043232">
        <w:rPr>
          <w:b/>
          <w:sz w:val="24"/>
          <w:szCs w:val="24"/>
        </w:rPr>
        <w:tab/>
        <w:t>D.SP.NR</w:t>
      </w:r>
    </w:p>
    <w:p w:rsidR="00111AC4" w:rsidRPr="00043232" w:rsidRDefault="00111AC4" w:rsidP="00111AC4">
      <w:pPr>
        <w:ind w:left="851" w:hanging="851"/>
        <w:jc w:val="both"/>
        <w:rPr>
          <w:sz w:val="24"/>
          <w:szCs w:val="24"/>
        </w:rPr>
      </w:pPr>
      <w:r>
        <w:rPr>
          <w:sz w:val="24"/>
          <w:szCs w:val="24"/>
        </w:rPr>
        <w:tab/>
      </w:r>
      <w:r w:rsidRPr="00043232">
        <w:rPr>
          <w:sz w:val="24"/>
          <w:szCs w:val="24"/>
        </w:rPr>
        <w:t>28226</w:t>
      </w:r>
    </w:p>
    <w:p w:rsidR="00111AC4" w:rsidRPr="00043232" w:rsidRDefault="00111AC4" w:rsidP="00111AC4">
      <w:pPr>
        <w:ind w:left="851" w:hanging="851"/>
        <w:jc w:val="both"/>
        <w:rPr>
          <w:sz w:val="24"/>
          <w:szCs w:val="24"/>
        </w:rPr>
      </w:pPr>
    </w:p>
    <w:p w:rsidR="00111AC4" w:rsidRPr="00043232" w:rsidRDefault="00111AC4" w:rsidP="00111AC4">
      <w:pPr>
        <w:ind w:left="851" w:hanging="851"/>
        <w:rPr>
          <w:b/>
          <w:sz w:val="24"/>
          <w:szCs w:val="24"/>
        </w:rPr>
      </w:pPr>
      <w:r w:rsidRPr="00043232">
        <w:rPr>
          <w:b/>
          <w:sz w:val="24"/>
          <w:szCs w:val="24"/>
        </w:rPr>
        <w:t>1.</w:t>
      </w:r>
      <w:r w:rsidRPr="00043232">
        <w:rPr>
          <w:b/>
          <w:sz w:val="24"/>
          <w:szCs w:val="24"/>
        </w:rPr>
        <w:tab/>
        <w:t>VETERINÆRLÆGEMIDLETS NAVN</w:t>
      </w:r>
    </w:p>
    <w:p w:rsidR="004466F3" w:rsidRPr="00397519" w:rsidRDefault="004466F3" w:rsidP="004466F3">
      <w:pPr>
        <w:ind w:firstLine="851"/>
        <w:rPr>
          <w:szCs w:val="22"/>
        </w:rPr>
      </w:pPr>
      <w:proofErr w:type="spellStart"/>
      <w:r w:rsidRPr="00397519">
        <w:rPr>
          <w:szCs w:val="22"/>
        </w:rPr>
        <w:t>Wellicox</w:t>
      </w:r>
      <w:proofErr w:type="spellEnd"/>
      <w:r w:rsidRPr="00397519">
        <w:rPr>
          <w:szCs w:val="22"/>
        </w:rPr>
        <w:t xml:space="preserve">, 50 mg/ml, injektionsvæske, opløsning </w:t>
      </w:r>
    </w:p>
    <w:p w:rsidR="00111AC4" w:rsidRPr="00043232" w:rsidRDefault="00111AC4" w:rsidP="00111AC4">
      <w:pPr>
        <w:ind w:left="851" w:hanging="851"/>
        <w:jc w:val="both"/>
        <w:rPr>
          <w:sz w:val="24"/>
          <w:szCs w:val="24"/>
        </w:rPr>
      </w:pPr>
    </w:p>
    <w:p w:rsidR="00111AC4" w:rsidRPr="00043232" w:rsidRDefault="00111AC4" w:rsidP="00111AC4">
      <w:pPr>
        <w:ind w:left="851" w:hanging="851"/>
        <w:jc w:val="both"/>
        <w:rPr>
          <w:sz w:val="24"/>
          <w:szCs w:val="24"/>
        </w:rPr>
      </w:pPr>
    </w:p>
    <w:p w:rsidR="00111AC4" w:rsidRPr="00043232" w:rsidRDefault="00111AC4" w:rsidP="00111AC4">
      <w:pPr>
        <w:ind w:left="851" w:hanging="851"/>
        <w:rPr>
          <w:b/>
          <w:sz w:val="24"/>
          <w:szCs w:val="24"/>
        </w:rPr>
      </w:pPr>
      <w:r w:rsidRPr="00043232">
        <w:rPr>
          <w:b/>
          <w:sz w:val="24"/>
          <w:szCs w:val="24"/>
        </w:rPr>
        <w:t>2.</w:t>
      </w:r>
      <w:r w:rsidRPr="00043232">
        <w:rPr>
          <w:b/>
          <w:sz w:val="24"/>
          <w:szCs w:val="24"/>
        </w:rPr>
        <w:tab/>
        <w:t>KVALITATIV OG KVANTITATIV SAMMENSÆTNING</w:t>
      </w:r>
    </w:p>
    <w:p w:rsidR="004466F3" w:rsidRPr="00397519" w:rsidRDefault="004466F3" w:rsidP="004466F3">
      <w:pPr>
        <w:ind w:left="851"/>
        <w:rPr>
          <w:szCs w:val="22"/>
        </w:rPr>
      </w:pPr>
      <w:r w:rsidRPr="00397519">
        <w:rPr>
          <w:szCs w:val="22"/>
        </w:rPr>
        <w:t>1 ml indeholder:</w:t>
      </w:r>
    </w:p>
    <w:p w:rsidR="004466F3" w:rsidRPr="00397519" w:rsidRDefault="004466F3" w:rsidP="004466F3">
      <w:pPr>
        <w:ind w:left="851"/>
        <w:rPr>
          <w:szCs w:val="22"/>
        </w:rPr>
      </w:pPr>
    </w:p>
    <w:p w:rsidR="004466F3" w:rsidRPr="00397519" w:rsidRDefault="004466F3" w:rsidP="004466F3">
      <w:pPr>
        <w:ind w:left="851"/>
        <w:rPr>
          <w:b/>
          <w:szCs w:val="22"/>
        </w:rPr>
      </w:pPr>
      <w:r w:rsidRPr="00397519">
        <w:rPr>
          <w:b/>
          <w:szCs w:val="22"/>
        </w:rPr>
        <w:t>Aktivt stof:</w:t>
      </w:r>
    </w:p>
    <w:p w:rsidR="004466F3" w:rsidRPr="00397519" w:rsidRDefault="004466F3" w:rsidP="004466F3">
      <w:pPr>
        <w:ind w:left="851"/>
        <w:rPr>
          <w:szCs w:val="22"/>
        </w:rPr>
      </w:pPr>
      <w:proofErr w:type="spellStart"/>
      <w:r w:rsidRPr="00397519">
        <w:rPr>
          <w:szCs w:val="22"/>
        </w:rPr>
        <w:t>Flunixin</w:t>
      </w:r>
      <w:proofErr w:type="spellEnd"/>
      <w:r w:rsidRPr="00397519">
        <w:rPr>
          <w:szCs w:val="22"/>
        </w:rPr>
        <w:tab/>
      </w:r>
      <w:r w:rsidRPr="00397519">
        <w:rPr>
          <w:szCs w:val="22"/>
        </w:rPr>
        <w:tab/>
      </w:r>
      <w:r w:rsidRPr="00397519">
        <w:rPr>
          <w:szCs w:val="22"/>
        </w:rPr>
        <w:tab/>
        <w:t>50 mg</w:t>
      </w:r>
    </w:p>
    <w:p w:rsidR="004466F3" w:rsidRPr="00397519" w:rsidRDefault="004466F3" w:rsidP="004466F3">
      <w:pPr>
        <w:ind w:firstLine="851"/>
        <w:rPr>
          <w:szCs w:val="22"/>
        </w:rPr>
      </w:pPr>
      <w:r w:rsidRPr="00397519">
        <w:rPr>
          <w:szCs w:val="22"/>
        </w:rPr>
        <w:t xml:space="preserve">(som </w:t>
      </w:r>
      <w:proofErr w:type="spellStart"/>
      <w:r w:rsidRPr="00397519">
        <w:rPr>
          <w:szCs w:val="22"/>
        </w:rPr>
        <w:t>meglumin</w:t>
      </w:r>
      <w:proofErr w:type="spellEnd"/>
      <w:r w:rsidRPr="00397519">
        <w:rPr>
          <w:szCs w:val="22"/>
        </w:rPr>
        <w:t>)</w:t>
      </w:r>
    </w:p>
    <w:p w:rsidR="00111AC4" w:rsidRPr="00043232" w:rsidRDefault="00111AC4" w:rsidP="00111AC4">
      <w:pPr>
        <w:ind w:left="851"/>
        <w:rPr>
          <w:sz w:val="24"/>
          <w:szCs w:val="24"/>
        </w:rPr>
      </w:pPr>
    </w:p>
    <w:p w:rsidR="004466F3" w:rsidRPr="00397519" w:rsidRDefault="004466F3" w:rsidP="004466F3">
      <w:pPr>
        <w:ind w:firstLine="851"/>
        <w:rPr>
          <w:szCs w:val="22"/>
        </w:rPr>
      </w:pPr>
      <w:r w:rsidRPr="00397519">
        <w:rPr>
          <w:b/>
          <w:szCs w:val="22"/>
        </w:rPr>
        <w:t>Hjælpestoffer:</w:t>
      </w:r>
    </w:p>
    <w:tbl>
      <w:tblPr>
        <w:tblW w:w="92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4466F3" w:rsidRPr="00397519" w:rsidTr="004466F3">
        <w:tc>
          <w:tcPr>
            <w:tcW w:w="4643" w:type="dxa"/>
            <w:shd w:val="clear" w:color="auto" w:fill="auto"/>
            <w:vAlign w:val="center"/>
          </w:tcPr>
          <w:p w:rsidR="004466F3" w:rsidRPr="00397519" w:rsidRDefault="004466F3" w:rsidP="00A9549F">
            <w:pPr>
              <w:spacing w:before="60" w:after="60"/>
              <w:rPr>
                <w:b/>
                <w:bCs/>
                <w:iCs/>
                <w:szCs w:val="22"/>
              </w:rPr>
            </w:pPr>
            <w:r w:rsidRPr="00397519">
              <w:rPr>
                <w:b/>
                <w:bCs/>
                <w:iCs/>
                <w:szCs w:val="22"/>
              </w:rPr>
              <w:t>Kvalitativ sammensætning af hjælpestoffer og andre bestanddele</w:t>
            </w:r>
          </w:p>
        </w:tc>
        <w:tc>
          <w:tcPr>
            <w:tcW w:w="4644" w:type="dxa"/>
            <w:shd w:val="clear" w:color="auto" w:fill="auto"/>
            <w:vAlign w:val="center"/>
          </w:tcPr>
          <w:p w:rsidR="004466F3" w:rsidRPr="00397519" w:rsidRDefault="004466F3" w:rsidP="00A9549F">
            <w:pPr>
              <w:spacing w:before="60" w:after="60"/>
              <w:rPr>
                <w:b/>
                <w:bCs/>
                <w:iCs/>
                <w:szCs w:val="22"/>
              </w:rPr>
            </w:pPr>
            <w:r w:rsidRPr="00397519">
              <w:rPr>
                <w:b/>
                <w:bCs/>
                <w:iCs/>
                <w:szCs w:val="22"/>
              </w:rPr>
              <w:t>Kvantitativ sammensætning, hvis oplysningen er vigtig for korrekt administration af veterinærlægemidlet</w:t>
            </w:r>
          </w:p>
        </w:tc>
      </w:tr>
      <w:tr w:rsidR="004466F3" w:rsidRPr="00397519" w:rsidTr="004466F3">
        <w:tc>
          <w:tcPr>
            <w:tcW w:w="4643" w:type="dxa"/>
            <w:shd w:val="clear" w:color="auto" w:fill="auto"/>
            <w:vAlign w:val="center"/>
          </w:tcPr>
          <w:p w:rsidR="004466F3" w:rsidRPr="00397519" w:rsidRDefault="004466F3" w:rsidP="00A9549F">
            <w:pPr>
              <w:spacing w:before="60" w:after="60"/>
              <w:ind w:left="567" w:hanging="567"/>
              <w:rPr>
                <w:iCs/>
                <w:szCs w:val="22"/>
              </w:rPr>
            </w:pPr>
            <w:proofErr w:type="spellStart"/>
            <w:r w:rsidRPr="00397519">
              <w:rPr>
                <w:iCs/>
                <w:szCs w:val="22"/>
              </w:rPr>
              <w:t>Phenol</w:t>
            </w:r>
            <w:proofErr w:type="spellEnd"/>
          </w:p>
        </w:tc>
        <w:tc>
          <w:tcPr>
            <w:tcW w:w="4644" w:type="dxa"/>
            <w:shd w:val="clear" w:color="auto" w:fill="auto"/>
            <w:vAlign w:val="center"/>
          </w:tcPr>
          <w:p w:rsidR="004466F3" w:rsidRPr="00397519" w:rsidRDefault="004466F3" w:rsidP="00A9549F">
            <w:pPr>
              <w:spacing w:before="60" w:after="60"/>
              <w:rPr>
                <w:iCs/>
                <w:szCs w:val="22"/>
              </w:rPr>
            </w:pPr>
            <w:r w:rsidRPr="00397519">
              <w:rPr>
                <w:iCs/>
                <w:szCs w:val="22"/>
              </w:rPr>
              <w:t>5 mg</w:t>
            </w:r>
          </w:p>
        </w:tc>
      </w:tr>
      <w:tr w:rsidR="004466F3" w:rsidRPr="00397519" w:rsidTr="004466F3">
        <w:tc>
          <w:tcPr>
            <w:tcW w:w="4643" w:type="dxa"/>
            <w:shd w:val="clear" w:color="auto" w:fill="auto"/>
            <w:vAlign w:val="center"/>
          </w:tcPr>
          <w:p w:rsidR="004466F3" w:rsidRPr="00397519" w:rsidRDefault="004466F3" w:rsidP="00A9549F">
            <w:pPr>
              <w:spacing w:before="60" w:after="60"/>
              <w:rPr>
                <w:iCs/>
                <w:szCs w:val="22"/>
              </w:rPr>
            </w:pPr>
            <w:proofErr w:type="spellStart"/>
            <w:r w:rsidRPr="00397519">
              <w:rPr>
                <w:iCs/>
                <w:szCs w:val="22"/>
              </w:rPr>
              <w:t>Natriumformaldehydsulfoxylat</w:t>
            </w:r>
            <w:proofErr w:type="spellEnd"/>
          </w:p>
        </w:tc>
        <w:tc>
          <w:tcPr>
            <w:tcW w:w="4644" w:type="dxa"/>
            <w:shd w:val="clear" w:color="auto" w:fill="auto"/>
            <w:vAlign w:val="center"/>
          </w:tcPr>
          <w:p w:rsidR="004466F3" w:rsidRPr="00397519" w:rsidRDefault="004466F3" w:rsidP="00A9549F">
            <w:pPr>
              <w:spacing w:before="60" w:after="60"/>
              <w:rPr>
                <w:iCs/>
                <w:szCs w:val="22"/>
              </w:rPr>
            </w:pPr>
            <w:r w:rsidRPr="00397519">
              <w:rPr>
                <w:iCs/>
                <w:szCs w:val="22"/>
              </w:rPr>
              <w:t>2,5 mg</w:t>
            </w:r>
          </w:p>
        </w:tc>
      </w:tr>
      <w:tr w:rsidR="004466F3" w:rsidRPr="00397519" w:rsidTr="004466F3">
        <w:tc>
          <w:tcPr>
            <w:tcW w:w="4643" w:type="dxa"/>
            <w:shd w:val="clear" w:color="auto" w:fill="auto"/>
            <w:vAlign w:val="center"/>
          </w:tcPr>
          <w:p w:rsidR="004466F3" w:rsidRPr="00397519" w:rsidRDefault="004466F3" w:rsidP="00A9549F">
            <w:pPr>
              <w:spacing w:before="60" w:after="60"/>
              <w:rPr>
                <w:iCs/>
                <w:szCs w:val="22"/>
              </w:rPr>
            </w:pPr>
            <w:proofErr w:type="spellStart"/>
            <w:r w:rsidRPr="00397519">
              <w:rPr>
                <w:iCs/>
                <w:szCs w:val="22"/>
              </w:rPr>
              <w:t>Dinatriumedetat</w:t>
            </w:r>
            <w:proofErr w:type="spellEnd"/>
          </w:p>
        </w:tc>
        <w:tc>
          <w:tcPr>
            <w:tcW w:w="4644" w:type="dxa"/>
            <w:shd w:val="clear" w:color="auto" w:fill="auto"/>
            <w:vAlign w:val="center"/>
          </w:tcPr>
          <w:p w:rsidR="004466F3" w:rsidRPr="00397519" w:rsidRDefault="004466F3" w:rsidP="00A9549F">
            <w:pPr>
              <w:spacing w:before="60" w:after="60"/>
              <w:rPr>
                <w:iCs/>
                <w:szCs w:val="22"/>
              </w:rPr>
            </w:pPr>
            <w:r w:rsidRPr="00397519">
              <w:rPr>
                <w:iCs/>
                <w:szCs w:val="22"/>
              </w:rPr>
              <w:t>0,1 mg</w:t>
            </w:r>
          </w:p>
        </w:tc>
      </w:tr>
      <w:tr w:rsidR="004466F3" w:rsidRPr="00397519" w:rsidTr="004466F3">
        <w:tc>
          <w:tcPr>
            <w:tcW w:w="4643" w:type="dxa"/>
            <w:shd w:val="clear" w:color="auto" w:fill="auto"/>
            <w:vAlign w:val="center"/>
          </w:tcPr>
          <w:p w:rsidR="004466F3" w:rsidRPr="00397519" w:rsidRDefault="004466F3" w:rsidP="00A9549F">
            <w:pPr>
              <w:spacing w:before="60" w:after="60"/>
              <w:ind w:left="567" w:hanging="567"/>
              <w:rPr>
                <w:iCs/>
                <w:szCs w:val="22"/>
              </w:rPr>
            </w:pPr>
            <w:r w:rsidRPr="00397519">
              <w:rPr>
                <w:iCs/>
                <w:szCs w:val="22"/>
              </w:rPr>
              <w:t>Natriumhydroxid</w:t>
            </w:r>
          </w:p>
        </w:tc>
        <w:tc>
          <w:tcPr>
            <w:tcW w:w="4644" w:type="dxa"/>
            <w:shd w:val="clear" w:color="auto" w:fill="auto"/>
            <w:vAlign w:val="center"/>
          </w:tcPr>
          <w:p w:rsidR="004466F3" w:rsidRPr="00397519" w:rsidRDefault="004466F3" w:rsidP="00A9549F">
            <w:pPr>
              <w:spacing w:before="60" w:after="60"/>
              <w:rPr>
                <w:iCs/>
                <w:szCs w:val="22"/>
              </w:rPr>
            </w:pPr>
          </w:p>
        </w:tc>
      </w:tr>
      <w:tr w:rsidR="004466F3" w:rsidRPr="00397519" w:rsidTr="004466F3">
        <w:tc>
          <w:tcPr>
            <w:tcW w:w="4643" w:type="dxa"/>
            <w:shd w:val="clear" w:color="auto" w:fill="auto"/>
            <w:vAlign w:val="center"/>
          </w:tcPr>
          <w:p w:rsidR="004466F3" w:rsidRPr="00397519" w:rsidRDefault="004466F3" w:rsidP="00A9549F">
            <w:pPr>
              <w:spacing w:before="60" w:after="60"/>
              <w:rPr>
                <w:iCs/>
                <w:szCs w:val="22"/>
              </w:rPr>
            </w:pPr>
            <w:r w:rsidRPr="00397519">
              <w:rPr>
                <w:iCs/>
                <w:szCs w:val="22"/>
              </w:rPr>
              <w:t>Propylenglycol</w:t>
            </w:r>
          </w:p>
        </w:tc>
        <w:tc>
          <w:tcPr>
            <w:tcW w:w="4644" w:type="dxa"/>
            <w:shd w:val="clear" w:color="auto" w:fill="auto"/>
            <w:vAlign w:val="center"/>
          </w:tcPr>
          <w:p w:rsidR="004466F3" w:rsidRPr="00397519" w:rsidRDefault="004466F3" w:rsidP="00A9549F">
            <w:pPr>
              <w:spacing w:before="60" w:after="60"/>
              <w:rPr>
                <w:iCs/>
                <w:szCs w:val="22"/>
              </w:rPr>
            </w:pPr>
          </w:p>
        </w:tc>
      </w:tr>
      <w:tr w:rsidR="004466F3" w:rsidRPr="00397519" w:rsidTr="004466F3">
        <w:tc>
          <w:tcPr>
            <w:tcW w:w="4643" w:type="dxa"/>
            <w:shd w:val="clear" w:color="auto" w:fill="auto"/>
            <w:vAlign w:val="center"/>
          </w:tcPr>
          <w:p w:rsidR="004466F3" w:rsidRPr="00397519" w:rsidRDefault="004466F3" w:rsidP="00A9549F">
            <w:pPr>
              <w:spacing w:before="60" w:after="60"/>
              <w:rPr>
                <w:iCs/>
                <w:szCs w:val="22"/>
              </w:rPr>
            </w:pPr>
            <w:r w:rsidRPr="00397519">
              <w:rPr>
                <w:iCs/>
                <w:szCs w:val="22"/>
              </w:rPr>
              <w:t>Fortyndet saltsyre</w:t>
            </w:r>
          </w:p>
        </w:tc>
        <w:tc>
          <w:tcPr>
            <w:tcW w:w="4644" w:type="dxa"/>
            <w:shd w:val="clear" w:color="auto" w:fill="auto"/>
            <w:vAlign w:val="center"/>
          </w:tcPr>
          <w:p w:rsidR="004466F3" w:rsidRPr="00397519" w:rsidRDefault="004466F3" w:rsidP="00A9549F">
            <w:pPr>
              <w:spacing w:before="60" w:after="60"/>
              <w:rPr>
                <w:iCs/>
                <w:szCs w:val="22"/>
              </w:rPr>
            </w:pPr>
          </w:p>
        </w:tc>
      </w:tr>
      <w:tr w:rsidR="004466F3" w:rsidRPr="00397519" w:rsidTr="004466F3">
        <w:tc>
          <w:tcPr>
            <w:tcW w:w="4643" w:type="dxa"/>
            <w:shd w:val="clear" w:color="auto" w:fill="auto"/>
            <w:vAlign w:val="center"/>
          </w:tcPr>
          <w:p w:rsidR="004466F3" w:rsidRPr="00397519" w:rsidRDefault="004466F3" w:rsidP="00A9549F">
            <w:pPr>
              <w:spacing w:before="60" w:after="60"/>
              <w:rPr>
                <w:iCs/>
                <w:szCs w:val="22"/>
              </w:rPr>
            </w:pPr>
            <w:r w:rsidRPr="00397519">
              <w:rPr>
                <w:iCs/>
                <w:szCs w:val="22"/>
              </w:rPr>
              <w:t>Vand til injektionsvæske</w:t>
            </w:r>
          </w:p>
        </w:tc>
        <w:tc>
          <w:tcPr>
            <w:tcW w:w="4644" w:type="dxa"/>
            <w:shd w:val="clear" w:color="auto" w:fill="auto"/>
            <w:vAlign w:val="center"/>
          </w:tcPr>
          <w:p w:rsidR="004466F3" w:rsidRPr="00397519" w:rsidRDefault="004466F3" w:rsidP="00A9549F">
            <w:pPr>
              <w:spacing w:before="60" w:after="60"/>
              <w:rPr>
                <w:iCs/>
                <w:szCs w:val="22"/>
              </w:rPr>
            </w:pPr>
          </w:p>
        </w:tc>
      </w:tr>
    </w:tbl>
    <w:p w:rsidR="004466F3" w:rsidRDefault="004466F3" w:rsidP="00111AC4">
      <w:pPr>
        <w:ind w:left="851"/>
        <w:rPr>
          <w:sz w:val="24"/>
          <w:szCs w:val="24"/>
        </w:rPr>
      </w:pPr>
    </w:p>
    <w:p w:rsidR="004466F3" w:rsidRPr="00397519" w:rsidRDefault="004466F3" w:rsidP="004466F3">
      <w:pPr>
        <w:ind w:left="851"/>
        <w:rPr>
          <w:szCs w:val="22"/>
        </w:rPr>
      </w:pPr>
      <w:r>
        <w:rPr>
          <w:szCs w:val="22"/>
        </w:rPr>
        <w:t>Farveløs til svag gullig opløsning, klar og stort set uden partikler.</w:t>
      </w:r>
    </w:p>
    <w:p w:rsidR="00111AC4" w:rsidRPr="00043232" w:rsidRDefault="00111AC4" w:rsidP="004466F3">
      <w:pPr>
        <w:jc w:val="both"/>
        <w:rPr>
          <w:sz w:val="24"/>
          <w:szCs w:val="24"/>
        </w:rPr>
      </w:pPr>
    </w:p>
    <w:p w:rsidR="004466F3" w:rsidRDefault="004466F3" w:rsidP="00111AC4">
      <w:pPr>
        <w:ind w:left="851" w:hanging="851"/>
        <w:rPr>
          <w:b/>
        </w:rPr>
      </w:pPr>
      <w:r w:rsidRPr="004466F3">
        <w:rPr>
          <w:b/>
        </w:rPr>
        <w:t>3.</w:t>
      </w:r>
      <w:r w:rsidRPr="004466F3">
        <w:rPr>
          <w:b/>
        </w:rPr>
        <w:tab/>
        <w:t>KLINISKE OPLYSNINGER</w:t>
      </w:r>
    </w:p>
    <w:p w:rsidR="004466F3" w:rsidRDefault="004466F3" w:rsidP="00111AC4">
      <w:pPr>
        <w:ind w:left="851" w:hanging="851"/>
        <w:rPr>
          <w:b/>
        </w:rPr>
      </w:pPr>
    </w:p>
    <w:p w:rsidR="004466F3" w:rsidRPr="00397519" w:rsidRDefault="004466F3" w:rsidP="004466F3">
      <w:pPr>
        <w:pStyle w:val="Style1"/>
        <w:ind w:left="851" w:hanging="851"/>
      </w:pPr>
      <w:r w:rsidRPr="00397519">
        <w:t>3.1</w:t>
      </w:r>
      <w:r w:rsidRPr="00397519">
        <w:tab/>
        <w:t>Dyrearter, som lægemidlet er beregnet til</w:t>
      </w:r>
    </w:p>
    <w:p w:rsidR="004466F3" w:rsidRDefault="004466F3" w:rsidP="00111AC4">
      <w:pPr>
        <w:ind w:left="851" w:hanging="851"/>
        <w:rPr>
          <w:b/>
        </w:rPr>
      </w:pPr>
    </w:p>
    <w:p w:rsidR="004466F3" w:rsidRDefault="004466F3" w:rsidP="004466F3">
      <w:pPr>
        <w:ind w:left="851"/>
        <w:rPr>
          <w:szCs w:val="22"/>
        </w:rPr>
      </w:pPr>
      <w:r w:rsidRPr="00397519">
        <w:rPr>
          <w:szCs w:val="22"/>
        </w:rPr>
        <w:t>Kvæg, svin og hest</w:t>
      </w:r>
    </w:p>
    <w:p w:rsidR="004466F3" w:rsidRDefault="004466F3" w:rsidP="004466F3">
      <w:pPr>
        <w:ind w:left="851"/>
        <w:rPr>
          <w:szCs w:val="22"/>
        </w:rPr>
      </w:pPr>
    </w:p>
    <w:p w:rsidR="004466F3" w:rsidRPr="00397519" w:rsidRDefault="004466F3" w:rsidP="004466F3">
      <w:pPr>
        <w:pStyle w:val="Style1"/>
        <w:ind w:left="851" w:hanging="851"/>
      </w:pPr>
      <w:r w:rsidRPr="00397519">
        <w:t>3.2</w:t>
      </w:r>
      <w:r w:rsidRPr="00397519">
        <w:tab/>
        <w:t>Terapeutiske indikationer for hver dyreart, som lægemidlet er beregnet til</w:t>
      </w:r>
    </w:p>
    <w:p w:rsidR="004466F3" w:rsidRPr="00397519" w:rsidRDefault="004466F3" w:rsidP="004466F3">
      <w:pPr>
        <w:pStyle w:val="Sidehoved"/>
        <w:ind w:left="851"/>
        <w:rPr>
          <w:sz w:val="22"/>
          <w:szCs w:val="22"/>
        </w:rPr>
      </w:pPr>
      <w:r w:rsidRPr="00397519">
        <w:rPr>
          <w:sz w:val="22"/>
          <w:szCs w:val="22"/>
        </w:rPr>
        <w:t>Kvæg:</w:t>
      </w:r>
    </w:p>
    <w:p w:rsidR="004466F3" w:rsidRPr="00397519" w:rsidRDefault="004466F3" w:rsidP="004466F3">
      <w:pPr>
        <w:pStyle w:val="Sidehoved"/>
        <w:numPr>
          <w:ilvl w:val="0"/>
          <w:numId w:val="4"/>
        </w:numPr>
        <w:tabs>
          <w:tab w:val="clear" w:pos="4819"/>
          <w:tab w:val="clear" w:pos="9638"/>
        </w:tabs>
        <w:ind w:left="1134" w:hanging="283"/>
        <w:rPr>
          <w:sz w:val="22"/>
          <w:szCs w:val="22"/>
        </w:rPr>
      </w:pPr>
      <w:r w:rsidRPr="00397519">
        <w:rPr>
          <w:sz w:val="22"/>
          <w:szCs w:val="22"/>
        </w:rPr>
        <w:t>Lindring af kliniske symptomer i forbindelse med respirationsvejslidelser samtidig med korrekt antibiotikabehandling.</w:t>
      </w:r>
    </w:p>
    <w:p w:rsidR="004466F3" w:rsidRPr="00397519" w:rsidRDefault="004466F3" w:rsidP="004466F3">
      <w:pPr>
        <w:pStyle w:val="Sidehoved"/>
        <w:ind w:left="426" w:hanging="851"/>
        <w:rPr>
          <w:sz w:val="22"/>
          <w:szCs w:val="22"/>
        </w:rPr>
      </w:pPr>
    </w:p>
    <w:p w:rsidR="004466F3" w:rsidRPr="00397519" w:rsidRDefault="004466F3" w:rsidP="004466F3">
      <w:pPr>
        <w:pStyle w:val="Sidehoved"/>
        <w:ind w:left="426" w:hanging="851"/>
        <w:rPr>
          <w:sz w:val="22"/>
          <w:szCs w:val="22"/>
        </w:rPr>
      </w:pPr>
    </w:p>
    <w:p w:rsidR="004466F3" w:rsidRPr="00397519" w:rsidRDefault="004466F3" w:rsidP="004466F3">
      <w:pPr>
        <w:pStyle w:val="Sidehoved"/>
        <w:ind w:left="1134" w:hanging="283"/>
        <w:rPr>
          <w:sz w:val="22"/>
          <w:szCs w:val="22"/>
        </w:rPr>
      </w:pPr>
      <w:r w:rsidRPr="00397519">
        <w:rPr>
          <w:sz w:val="22"/>
          <w:szCs w:val="22"/>
        </w:rPr>
        <w:t xml:space="preserve">Svin: </w:t>
      </w:r>
    </w:p>
    <w:p w:rsidR="004466F3" w:rsidRPr="00397519" w:rsidRDefault="004466F3" w:rsidP="004466F3">
      <w:pPr>
        <w:pStyle w:val="Sidehoved"/>
        <w:numPr>
          <w:ilvl w:val="0"/>
          <w:numId w:val="5"/>
        </w:numPr>
        <w:tabs>
          <w:tab w:val="clear" w:pos="4819"/>
          <w:tab w:val="clear" w:pos="9638"/>
        </w:tabs>
        <w:ind w:left="1134" w:hanging="283"/>
        <w:rPr>
          <w:sz w:val="22"/>
          <w:szCs w:val="22"/>
        </w:rPr>
      </w:pPr>
      <w:r w:rsidRPr="00397519">
        <w:rPr>
          <w:sz w:val="22"/>
          <w:szCs w:val="22"/>
        </w:rPr>
        <w:t>Understøttende behandling i forbindelse med antibiotikabehandling af MMA- (</w:t>
      </w:r>
      <w:proofErr w:type="spellStart"/>
      <w:r w:rsidRPr="00397519">
        <w:rPr>
          <w:sz w:val="22"/>
          <w:szCs w:val="22"/>
        </w:rPr>
        <w:t>Mastitis</w:t>
      </w:r>
      <w:proofErr w:type="spellEnd"/>
      <w:r w:rsidRPr="00397519">
        <w:rPr>
          <w:sz w:val="22"/>
          <w:szCs w:val="22"/>
        </w:rPr>
        <w:t xml:space="preserve">- </w:t>
      </w:r>
      <w:proofErr w:type="spellStart"/>
      <w:r w:rsidRPr="00397519">
        <w:rPr>
          <w:sz w:val="22"/>
          <w:szCs w:val="22"/>
        </w:rPr>
        <w:t>Metritis-Agalakti</w:t>
      </w:r>
      <w:proofErr w:type="spellEnd"/>
      <w:r w:rsidRPr="00397519">
        <w:rPr>
          <w:sz w:val="22"/>
          <w:szCs w:val="22"/>
        </w:rPr>
        <w:t>) syndrom.</w:t>
      </w:r>
    </w:p>
    <w:p w:rsidR="004466F3" w:rsidRPr="00397519" w:rsidRDefault="004466F3" w:rsidP="004466F3">
      <w:pPr>
        <w:pStyle w:val="Sidehoved"/>
        <w:numPr>
          <w:ilvl w:val="0"/>
          <w:numId w:val="6"/>
        </w:numPr>
        <w:tabs>
          <w:tab w:val="clear" w:pos="4819"/>
          <w:tab w:val="clear" w:pos="9638"/>
        </w:tabs>
        <w:ind w:left="1134" w:hanging="283"/>
        <w:rPr>
          <w:sz w:val="22"/>
          <w:szCs w:val="22"/>
        </w:rPr>
      </w:pPr>
      <w:r w:rsidRPr="00397519">
        <w:rPr>
          <w:sz w:val="22"/>
          <w:szCs w:val="22"/>
        </w:rPr>
        <w:t xml:space="preserve">Understøttende febernedsættende behandling i forbindelse med respirationsvejslidelser sammen med specifik antibiotikabehandling. </w:t>
      </w:r>
    </w:p>
    <w:p w:rsidR="004466F3" w:rsidRPr="00397519" w:rsidRDefault="004466F3" w:rsidP="004466F3">
      <w:pPr>
        <w:pStyle w:val="Sidehoved"/>
        <w:ind w:left="426" w:hanging="851"/>
        <w:rPr>
          <w:sz w:val="22"/>
          <w:szCs w:val="22"/>
        </w:rPr>
      </w:pPr>
    </w:p>
    <w:p w:rsidR="004466F3" w:rsidRPr="00397519" w:rsidRDefault="004466F3" w:rsidP="004466F3">
      <w:pPr>
        <w:pStyle w:val="Sidehoved"/>
        <w:ind w:left="1134" w:hanging="283"/>
        <w:rPr>
          <w:sz w:val="22"/>
          <w:szCs w:val="22"/>
        </w:rPr>
      </w:pPr>
      <w:r w:rsidRPr="00397519">
        <w:rPr>
          <w:sz w:val="22"/>
          <w:szCs w:val="22"/>
        </w:rPr>
        <w:t>Hest:</w:t>
      </w:r>
    </w:p>
    <w:p w:rsidR="004466F3" w:rsidRPr="00397519" w:rsidRDefault="004466F3" w:rsidP="004466F3">
      <w:pPr>
        <w:pStyle w:val="Sidehoved"/>
        <w:numPr>
          <w:ilvl w:val="0"/>
          <w:numId w:val="7"/>
        </w:numPr>
        <w:tabs>
          <w:tab w:val="clear" w:pos="4819"/>
          <w:tab w:val="clear" w:pos="9638"/>
        </w:tabs>
        <w:ind w:left="1134" w:hanging="283"/>
        <w:rPr>
          <w:sz w:val="22"/>
          <w:szCs w:val="22"/>
        </w:rPr>
      </w:pPr>
      <w:r w:rsidRPr="00397519">
        <w:rPr>
          <w:sz w:val="22"/>
          <w:szCs w:val="22"/>
        </w:rPr>
        <w:t>Lindring af betændelse og smerte i forbindelse med lidelser i bevægeapparatet</w:t>
      </w:r>
    </w:p>
    <w:p w:rsidR="004466F3" w:rsidRPr="00397519" w:rsidRDefault="004466F3" w:rsidP="004466F3">
      <w:pPr>
        <w:pStyle w:val="Sidehoved"/>
        <w:numPr>
          <w:ilvl w:val="0"/>
          <w:numId w:val="7"/>
        </w:numPr>
        <w:tabs>
          <w:tab w:val="clear" w:pos="4819"/>
          <w:tab w:val="clear" w:pos="9638"/>
        </w:tabs>
        <w:ind w:left="1134" w:hanging="283"/>
        <w:rPr>
          <w:sz w:val="22"/>
          <w:szCs w:val="22"/>
        </w:rPr>
      </w:pPr>
      <w:r w:rsidRPr="00397519">
        <w:rPr>
          <w:sz w:val="22"/>
          <w:szCs w:val="22"/>
        </w:rPr>
        <w:t xml:space="preserve">Lindring af </w:t>
      </w:r>
      <w:proofErr w:type="spellStart"/>
      <w:r w:rsidRPr="00397519">
        <w:rPr>
          <w:sz w:val="22"/>
          <w:szCs w:val="22"/>
        </w:rPr>
        <w:t>visceral</w:t>
      </w:r>
      <w:proofErr w:type="spellEnd"/>
      <w:r w:rsidRPr="00397519">
        <w:rPr>
          <w:sz w:val="22"/>
          <w:szCs w:val="22"/>
        </w:rPr>
        <w:t xml:space="preserve"> smerte i forbindelse med kolik.</w:t>
      </w:r>
    </w:p>
    <w:p w:rsidR="00111AC4" w:rsidRDefault="00111AC4" w:rsidP="00111AC4">
      <w:pPr>
        <w:ind w:left="851" w:hanging="851"/>
        <w:jc w:val="both"/>
        <w:rPr>
          <w:sz w:val="24"/>
          <w:szCs w:val="24"/>
        </w:rPr>
      </w:pPr>
    </w:p>
    <w:p w:rsidR="004466F3" w:rsidRPr="00397519" w:rsidRDefault="004466F3" w:rsidP="004466F3">
      <w:pPr>
        <w:pStyle w:val="Style1"/>
        <w:ind w:left="851" w:hanging="851"/>
      </w:pPr>
      <w:r w:rsidRPr="00397519">
        <w:t>3.3</w:t>
      </w:r>
      <w:r w:rsidRPr="00397519">
        <w:tab/>
        <w:t>Kontraindikationer</w:t>
      </w:r>
    </w:p>
    <w:p w:rsidR="004466F3" w:rsidRDefault="004466F3" w:rsidP="004466F3">
      <w:pPr>
        <w:rPr>
          <w:szCs w:val="22"/>
        </w:rPr>
      </w:pPr>
    </w:p>
    <w:p w:rsidR="004466F3" w:rsidRPr="00397519" w:rsidRDefault="004466F3" w:rsidP="004466F3">
      <w:pPr>
        <w:ind w:left="851"/>
        <w:rPr>
          <w:szCs w:val="22"/>
        </w:rPr>
      </w:pPr>
      <w:r w:rsidRPr="00397519">
        <w:rPr>
          <w:szCs w:val="22"/>
        </w:rPr>
        <w:t>Må ikke anvendes til dyr, der lider af kroniske lidelser i bevægeapparatet.</w:t>
      </w:r>
    </w:p>
    <w:p w:rsidR="004466F3" w:rsidRPr="00397519" w:rsidRDefault="004466F3" w:rsidP="004466F3">
      <w:pPr>
        <w:ind w:left="851"/>
        <w:rPr>
          <w:szCs w:val="22"/>
        </w:rPr>
      </w:pPr>
      <w:r w:rsidRPr="00397519">
        <w:rPr>
          <w:szCs w:val="22"/>
        </w:rPr>
        <w:t>Må ikke anvendes til dyr med hjerte-, lever- eller nyresygdom.</w:t>
      </w:r>
    </w:p>
    <w:p w:rsidR="004466F3" w:rsidRPr="00397519" w:rsidRDefault="004466F3" w:rsidP="004466F3">
      <w:pPr>
        <w:ind w:left="851"/>
        <w:rPr>
          <w:szCs w:val="22"/>
        </w:rPr>
      </w:pPr>
      <w:r w:rsidRPr="00397519">
        <w:rPr>
          <w:szCs w:val="22"/>
        </w:rPr>
        <w:t xml:space="preserve">Må ikke anvendes til dyr med </w:t>
      </w:r>
      <w:proofErr w:type="spellStart"/>
      <w:r w:rsidRPr="00397519">
        <w:rPr>
          <w:szCs w:val="22"/>
        </w:rPr>
        <w:t>gastrointestinale</w:t>
      </w:r>
      <w:proofErr w:type="spellEnd"/>
      <w:r w:rsidRPr="00397519">
        <w:rPr>
          <w:szCs w:val="22"/>
        </w:rPr>
        <w:t xml:space="preserve"> læsioner (sår eller blødning i </w:t>
      </w:r>
      <w:proofErr w:type="spellStart"/>
      <w:r w:rsidRPr="00397519">
        <w:rPr>
          <w:szCs w:val="22"/>
        </w:rPr>
        <w:t>mave-tarmkanalen</w:t>
      </w:r>
      <w:proofErr w:type="spellEnd"/>
      <w:r w:rsidRPr="00397519">
        <w:rPr>
          <w:szCs w:val="22"/>
        </w:rPr>
        <w:t>).</w:t>
      </w:r>
    </w:p>
    <w:p w:rsidR="004466F3" w:rsidRPr="00397519" w:rsidRDefault="004466F3" w:rsidP="004466F3">
      <w:pPr>
        <w:ind w:left="851"/>
        <w:rPr>
          <w:szCs w:val="22"/>
        </w:rPr>
      </w:pPr>
      <w:r w:rsidRPr="00397519">
        <w:rPr>
          <w:szCs w:val="22"/>
        </w:rPr>
        <w:t xml:space="preserve">Må ikke anvendes ved </w:t>
      </w:r>
      <w:proofErr w:type="spellStart"/>
      <w:r w:rsidRPr="00397519">
        <w:rPr>
          <w:szCs w:val="22"/>
        </w:rPr>
        <w:t>hæmorrhagiske</w:t>
      </w:r>
      <w:proofErr w:type="spellEnd"/>
      <w:r w:rsidRPr="00397519">
        <w:rPr>
          <w:szCs w:val="22"/>
        </w:rPr>
        <w:t xml:space="preserve"> lidelser.</w:t>
      </w:r>
    </w:p>
    <w:p w:rsidR="004466F3" w:rsidRPr="00397519" w:rsidRDefault="004466F3" w:rsidP="004466F3">
      <w:pPr>
        <w:ind w:left="851"/>
        <w:rPr>
          <w:szCs w:val="22"/>
        </w:rPr>
      </w:pPr>
      <w:r w:rsidRPr="00397519">
        <w:rPr>
          <w:szCs w:val="22"/>
        </w:rPr>
        <w:t xml:space="preserve">Må ikke anvendes i tilfælde af overfølsomhed over for </w:t>
      </w:r>
      <w:proofErr w:type="spellStart"/>
      <w:r w:rsidRPr="00397519">
        <w:rPr>
          <w:szCs w:val="22"/>
        </w:rPr>
        <w:t>flunixinmeglumin</w:t>
      </w:r>
      <w:proofErr w:type="spellEnd"/>
      <w:r w:rsidRPr="00397519">
        <w:rPr>
          <w:szCs w:val="22"/>
        </w:rPr>
        <w:t xml:space="preserve">, andre NSAID eller over for et eller flere af hjælpestofferne. </w:t>
      </w:r>
    </w:p>
    <w:p w:rsidR="004466F3" w:rsidRPr="00397519" w:rsidRDefault="004466F3" w:rsidP="004466F3">
      <w:pPr>
        <w:ind w:left="851"/>
        <w:rPr>
          <w:szCs w:val="22"/>
        </w:rPr>
      </w:pPr>
      <w:r w:rsidRPr="00397519">
        <w:rPr>
          <w:szCs w:val="22"/>
        </w:rPr>
        <w:t xml:space="preserve">Må ikke anvendes til dyr, der lider af kolik forårsaget af </w:t>
      </w:r>
      <w:proofErr w:type="spellStart"/>
      <w:r w:rsidRPr="00397519">
        <w:rPr>
          <w:szCs w:val="22"/>
        </w:rPr>
        <w:t>ileus</w:t>
      </w:r>
      <w:proofErr w:type="spellEnd"/>
      <w:r w:rsidRPr="00397519">
        <w:rPr>
          <w:szCs w:val="22"/>
        </w:rPr>
        <w:t xml:space="preserve"> og forbundet med dehydrering.</w:t>
      </w:r>
    </w:p>
    <w:p w:rsidR="004466F3" w:rsidRPr="00397519" w:rsidRDefault="004466F3" w:rsidP="004466F3">
      <w:pPr>
        <w:ind w:left="851"/>
        <w:rPr>
          <w:szCs w:val="22"/>
        </w:rPr>
      </w:pPr>
      <w:r w:rsidRPr="00397519">
        <w:rPr>
          <w:szCs w:val="22"/>
        </w:rPr>
        <w:t>Må ikke bruges til køer/kvier inden for 48 timer før forventet kælvning. I sådanne tilfælde er der observeret en stigning i antallet af dødfødte.</w:t>
      </w:r>
    </w:p>
    <w:p w:rsidR="004466F3" w:rsidRPr="00397519" w:rsidRDefault="004466F3" w:rsidP="004466F3">
      <w:pPr>
        <w:ind w:left="851"/>
        <w:rPr>
          <w:szCs w:val="22"/>
        </w:rPr>
      </w:pPr>
      <w:r w:rsidRPr="00397519">
        <w:rPr>
          <w:szCs w:val="22"/>
        </w:rPr>
        <w:t>Overskrid ikke den angivne dosis eller behandlingsvarighed</w:t>
      </w:r>
    </w:p>
    <w:p w:rsidR="004466F3" w:rsidRPr="00397519" w:rsidRDefault="004466F3" w:rsidP="004466F3">
      <w:pPr>
        <w:ind w:left="851"/>
        <w:rPr>
          <w:szCs w:val="22"/>
        </w:rPr>
      </w:pPr>
    </w:p>
    <w:p w:rsidR="004466F3" w:rsidRPr="00397519" w:rsidRDefault="004466F3" w:rsidP="004466F3">
      <w:pPr>
        <w:ind w:left="851"/>
        <w:rPr>
          <w:szCs w:val="22"/>
        </w:rPr>
      </w:pPr>
      <w:r w:rsidRPr="00397519">
        <w:rPr>
          <w:szCs w:val="22"/>
        </w:rPr>
        <w:t>Se også pkt. 3.7.</w:t>
      </w:r>
    </w:p>
    <w:p w:rsidR="004466F3" w:rsidRPr="00043232" w:rsidRDefault="004466F3" w:rsidP="00111AC4">
      <w:pPr>
        <w:ind w:left="851" w:hanging="851"/>
        <w:jc w:val="both"/>
        <w:rPr>
          <w:sz w:val="24"/>
          <w:szCs w:val="24"/>
        </w:rPr>
      </w:pPr>
    </w:p>
    <w:p w:rsidR="004466F3" w:rsidRPr="00397519" w:rsidRDefault="004466F3" w:rsidP="004466F3">
      <w:pPr>
        <w:pStyle w:val="Style1"/>
        <w:ind w:left="851" w:hanging="851"/>
      </w:pPr>
      <w:r w:rsidRPr="00397519">
        <w:t>3.4</w:t>
      </w:r>
      <w:r w:rsidRPr="00397519">
        <w:tab/>
        <w:t>Særlige advarsler</w:t>
      </w:r>
    </w:p>
    <w:p w:rsidR="004466F3" w:rsidRPr="00397519" w:rsidRDefault="004466F3" w:rsidP="004466F3">
      <w:pPr>
        <w:rPr>
          <w:szCs w:val="22"/>
        </w:rPr>
      </w:pPr>
    </w:p>
    <w:p w:rsidR="004466F3" w:rsidRPr="00397519" w:rsidRDefault="004466F3" w:rsidP="004466F3">
      <w:pPr>
        <w:ind w:left="851"/>
        <w:rPr>
          <w:szCs w:val="22"/>
        </w:rPr>
      </w:pPr>
      <w:r w:rsidRPr="00397519">
        <w:rPr>
          <w:szCs w:val="22"/>
        </w:rPr>
        <w:t>Den underliggende årsag til betændelsestilstanden eller kolik skal fastsættes og behandles med passende anden behandling.</w:t>
      </w:r>
    </w:p>
    <w:p w:rsidR="00111AC4" w:rsidRDefault="00111AC4" w:rsidP="00111AC4">
      <w:pPr>
        <w:ind w:left="851" w:hanging="851"/>
        <w:jc w:val="both"/>
        <w:rPr>
          <w:sz w:val="24"/>
          <w:szCs w:val="24"/>
        </w:rPr>
      </w:pPr>
    </w:p>
    <w:p w:rsidR="004466F3" w:rsidRPr="00397519" w:rsidRDefault="004466F3" w:rsidP="004466F3">
      <w:pPr>
        <w:pStyle w:val="Style1"/>
        <w:ind w:left="851" w:hanging="851"/>
      </w:pPr>
      <w:r w:rsidRPr="00397519">
        <w:t>3.5</w:t>
      </w:r>
      <w:r w:rsidRPr="00397519">
        <w:tab/>
        <w:t>Særlige forholdsregler vedrørende brugen</w:t>
      </w:r>
    </w:p>
    <w:p w:rsidR="004466F3" w:rsidRDefault="004466F3" w:rsidP="004466F3">
      <w:pPr>
        <w:ind w:left="851"/>
        <w:rPr>
          <w:szCs w:val="22"/>
          <w:u w:val="single"/>
        </w:rPr>
      </w:pPr>
    </w:p>
    <w:p w:rsidR="004466F3" w:rsidRPr="00397519" w:rsidRDefault="004466F3" w:rsidP="004466F3">
      <w:pPr>
        <w:ind w:left="851"/>
        <w:rPr>
          <w:szCs w:val="22"/>
          <w:u w:val="single"/>
        </w:rPr>
      </w:pPr>
      <w:r w:rsidRPr="00397519">
        <w:rPr>
          <w:szCs w:val="22"/>
          <w:u w:val="single"/>
        </w:rPr>
        <w:t>Særlige forholdsregler vedrørende sikker brug hos de dyrearter, som lægemidlet er beregnet til:</w:t>
      </w:r>
    </w:p>
    <w:p w:rsidR="004466F3" w:rsidRPr="00397519" w:rsidRDefault="004466F3" w:rsidP="004466F3">
      <w:pPr>
        <w:ind w:left="851"/>
        <w:rPr>
          <w:szCs w:val="22"/>
        </w:rPr>
      </w:pPr>
    </w:p>
    <w:p w:rsidR="004466F3" w:rsidRPr="00397519" w:rsidRDefault="004466F3" w:rsidP="004466F3">
      <w:pPr>
        <w:ind w:left="851"/>
        <w:rPr>
          <w:szCs w:val="22"/>
        </w:rPr>
      </w:pPr>
      <w:r w:rsidRPr="00397519">
        <w:rPr>
          <w:szCs w:val="22"/>
        </w:rPr>
        <w:t>Anvendelse til dyr yngre end 6 uger (kvæg og hest) eller til ældre dyr kan give en forøget risiko. Hvis sådan anvendelse ikke kan undgås, kan en reduceret dosis og nøje klinisk overvågning af dyrene være påkrævet.</w:t>
      </w:r>
    </w:p>
    <w:p w:rsidR="004466F3" w:rsidRPr="00397519" w:rsidRDefault="004466F3" w:rsidP="004466F3">
      <w:pPr>
        <w:ind w:left="851"/>
        <w:rPr>
          <w:szCs w:val="22"/>
        </w:rPr>
      </w:pPr>
      <w:r w:rsidRPr="00397519">
        <w:rPr>
          <w:szCs w:val="22"/>
        </w:rPr>
        <w:t xml:space="preserve">Det anbefales, at dyr, der har været i generel anæstesi, ikke behandles med NSAID, der hæmmer </w:t>
      </w:r>
      <w:proofErr w:type="spellStart"/>
      <w:r w:rsidRPr="00397519">
        <w:rPr>
          <w:szCs w:val="22"/>
        </w:rPr>
        <w:t>prostaglandinsyntesen</w:t>
      </w:r>
      <w:proofErr w:type="spellEnd"/>
      <w:r w:rsidRPr="00397519">
        <w:rPr>
          <w:szCs w:val="22"/>
        </w:rPr>
        <w:t>, før de er helt restitueret.</w:t>
      </w:r>
    </w:p>
    <w:p w:rsidR="004466F3" w:rsidRPr="00397519" w:rsidRDefault="004466F3" w:rsidP="004466F3">
      <w:pPr>
        <w:ind w:left="851"/>
        <w:rPr>
          <w:szCs w:val="22"/>
        </w:rPr>
      </w:pPr>
      <w:r w:rsidRPr="00397519">
        <w:rPr>
          <w:szCs w:val="22"/>
        </w:rPr>
        <w:t xml:space="preserve">Undgå brug til dehydrerede, </w:t>
      </w:r>
      <w:proofErr w:type="spellStart"/>
      <w:r w:rsidRPr="00397519">
        <w:rPr>
          <w:szCs w:val="22"/>
        </w:rPr>
        <w:t>hypovolæmiske</w:t>
      </w:r>
      <w:proofErr w:type="spellEnd"/>
      <w:r w:rsidRPr="00397519">
        <w:rPr>
          <w:szCs w:val="22"/>
        </w:rPr>
        <w:t xml:space="preserve"> eller </w:t>
      </w:r>
      <w:proofErr w:type="spellStart"/>
      <w:r w:rsidRPr="00397519">
        <w:rPr>
          <w:szCs w:val="22"/>
        </w:rPr>
        <w:t>hypotensive</w:t>
      </w:r>
      <w:proofErr w:type="spellEnd"/>
      <w:r w:rsidRPr="00397519">
        <w:rPr>
          <w:szCs w:val="22"/>
        </w:rPr>
        <w:t xml:space="preserve"> dyr, undtagen i tilfælde af </w:t>
      </w:r>
      <w:proofErr w:type="spellStart"/>
      <w:r w:rsidRPr="00397519">
        <w:rPr>
          <w:szCs w:val="22"/>
        </w:rPr>
        <w:t>endotoxæmi</w:t>
      </w:r>
      <w:proofErr w:type="spellEnd"/>
      <w:r w:rsidRPr="00397519">
        <w:rPr>
          <w:szCs w:val="22"/>
        </w:rPr>
        <w:t xml:space="preserve"> eller septisk </w:t>
      </w:r>
      <w:proofErr w:type="spellStart"/>
      <w:r w:rsidRPr="00397519">
        <w:rPr>
          <w:szCs w:val="22"/>
        </w:rPr>
        <w:t>shock</w:t>
      </w:r>
      <w:proofErr w:type="spellEnd"/>
      <w:r w:rsidRPr="00397519">
        <w:rPr>
          <w:szCs w:val="22"/>
        </w:rPr>
        <w:t>.</w:t>
      </w:r>
    </w:p>
    <w:p w:rsidR="004466F3" w:rsidRPr="00397519" w:rsidRDefault="004466F3" w:rsidP="004466F3">
      <w:pPr>
        <w:ind w:left="851"/>
        <w:rPr>
          <w:szCs w:val="22"/>
        </w:rPr>
      </w:pPr>
      <w:r w:rsidRPr="00397519">
        <w:rPr>
          <w:szCs w:val="22"/>
        </w:rPr>
        <w:t xml:space="preserve">I sjældne tilfælde kan der ses </w:t>
      </w:r>
      <w:proofErr w:type="spellStart"/>
      <w:r w:rsidRPr="00397519">
        <w:rPr>
          <w:szCs w:val="22"/>
        </w:rPr>
        <w:t>shock</w:t>
      </w:r>
      <w:proofErr w:type="spellEnd"/>
      <w:r w:rsidRPr="00397519">
        <w:rPr>
          <w:szCs w:val="22"/>
        </w:rPr>
        <w:t xml:space="preserve">, evt. med dødelig udgang, efter intravenøs behandling pga. stor mængde af propylenglykol i lægemidlet. </w:t>
      </w:r>
      <w:r>
        <w:rPr>
          <w:szCs w:val="22"/>
        </w:rPr>
        <w:t>Veterinærl</w:t>
      </w:r>
      <w:r w:rsidRPr="00397519">
        <w:rPr>
          <w:szCs w:val="22"/>
        </w:rPr>
        <w:t xml:space="preserve">ægemidlet bør injiceres langsomt og ved legemstemperatur. Injektionen bør standses ved de første tegn på intolerance, og </w:t>
      </w:r>
      <w:proofErr w:type="spellStart"/>
      <w:r w:rsidRPr="00397519">
        <w:rPr>
          <w:szCs w:val="22"/>
        </w:rPr>
        <w:t>shock</w:t>
      </w:r>
      <w:proofErr w:type="spellEnd"/>
      <w:r w:rsidRPr="00397519">
        <w:rPr>
          <w:szCs w:val="22"/>
        </w:rPr>
        <w:t xml:space="preserve"> behandles om nødvendigt. </w:t>
      </w:r>
      <w:proofErr w:type="spellStart"/>
      <w:r w:rsidRPr="00397519">
        <w:rPr>
          <w:szCs w:val="22"/>
        </w:rPr>
        <w:t>Flunixin</w:t>
      </w:r>
      <w:proofErr w:type="spellEnd"/>
      <w:r w:rsidRPr="00397519">
        <w:rPr>
          <w:szCs w:val="22"/>
        </w:rPr>
        <w:t xml:space="preserve"> kan skjule kliniske symptomer pga. dets </w:t>
      </w:r>
      <w:r w:rsidRPr="00397519">
        <w:rPr>
          <w:szCs w:val="22"/>
        </w:rPr>
        <w:lastRenderedPageBreak/>
        <w:t>antiinflammatoriske egenskaber og således også mulig resistens over for antibiotikabehandling.</w:t>
      </w:r>
    </w:p>
    <w:p w:rsidR="004466F3" w:rsidRDefault="004466F3" w:rsidP="004466F3">
      <w:pPr>
        <w:ind w:left="851"/>
        <w:rPr>
          <w:szCs w:val="22"/>
        </w:rPr>
      </w:pPr>
      <w:r w:rsidRPr="00397519">
        <w:rPr>
          <w:szCs w:val="22"/>
        </w:rPr>
        <w:t xml:space="preserve">Det er kendt, at NSAID-præparater potentielt kan have </w:t>
      </w:r>
      <w:proofErr w:type="spellStart"/>
      <w:r w:rsidRPr="00397519">
        <w:rPr>
          <w:szCs w:val="22"/>
        </w:rPr>
        <w:t>tokolytisk</w:t>
      </w:r>
      <w:proofErr w:type="spellEnd"/>
      <w:r w:rsidRPr="00397519">
        <w:rPr>
          <w:szCs w:val="22"/>
        </w:rPr>
        <w:t xml:space="preserve"> virkning og kan forsinke fødslen ved at hæmme de </w:t>
      </w:r>
      <w:proofErr w:type="spellStart"/>
      <w:r w:rsidRPr="00397519">
        <w:rPr>
          <w:szCs w:val="22"/>
        </w:rPr>
        <w:t>prostaglandiner</w:t>
      </w:r>
      <w:proofErr w:type="spellEnd"/>
      <w:r w:rsidRPr="00397519">
        <w:rPr>
          <w:szCs w:val="22"/>
        </w:rPr>
        <w:t xml:space="preserve">, der er vigtige for fødslens igangsættelse. Brug af </w:t>
      </w:r>
      <w:r>
        <w:rPr>
          <w:szCs w:val="22"/>
        </w:rPr>
        <w:t>veterinærlægemidlet</w:t>
      </w:r>
      <w:r w:rsidRPr="00397519">
        <w:rPr>
          <w:szCs w:val="22"/>
        </w:rPr>
        <w:t xml:space="preserve"> umiddelbart post </w:t>
      </w:r>
      <w:proofErr w:type="spellStart"/>
      <w:r w:rsidRPr="00397519">
        <w:rPr>
          <w:szCs w:val="22"/>
        </w:rPr>
        <w:t>partum</w:t>
      </w:r>
      <w:proofErr w:type="spellEnd"/>
      <w:r w:rsidRPr="00397519">
        <w:rPr>
          <w:szCs w:val="22"/>
        </w:rPr>
        <w:t xml:space="preserve"> kan interferere med den </w:t>
      </w:r>
      <w:proofErr w:type="spellStart"/>
      <w:r w:rsidRPr="00397519">
        <w:rPr>
          <w:szCs w:val="22"/>
        </w:rPr>
        <w:t>uterine</w:t>
      </w:r>
      <w:proofErr w:type="spellEnd"/>
      <w:r w:rsidRPr="00397519">
        <w:rPr>
          <w:szCs w:val="22"/>
        </w:rPr>
        <w:t xml:space="preserve"> </w:t>
      </w:r>
      <w:proofErr w:type="spellStart"/>
      <w:r w:rsidRPr="00397519">
        <w:rPr>
          <w:szCs w:val="22"/>
        </w:rPr>
        <w:t>involution</w:t>
      </w:r>
      <w:proofErr w:type="spellEnd"/>
      <w:r w:rsidRPr="00397519">
        <w:rPr>
          <w:szCs w:val="22"/>
        </w:rPr>
        <w:t xml:space="preserve"> og </w:t>
      </w:r>
      <w:proofErr w:type="spellStart"/>
      <w:r w:rsidRPr="00397519">
        <w:rPr>
          <w:szCs w:val="22"/>
        </w:rPr>
        <w:t>afstødelse</w:t>
      </w:r>
      <w:proofErr w:type="spellEnd"/>
      <w:r w:rsidRPr="00397519">
        <w:rPr>
          <w:szCs w:val="22"/>
        </w:rPr>
        <w:t xml:space="preserve"> af fosterhinderne, og dermed forårsage tilbageholdt efterbyrd. </w:t>
      </w:r>
    </w:p>
    <w:p w:rsidR="004466F3" w:rsidRPr="00847B16" w:rsidRDefault="004466F3" w:rsidP="004466F3">
      <w:pPr>
        <w:ind w:left="851"/>
        <w:rPr>
          <w:szCs w:val="22"/>
        </w:rPr>
      </w:pPr>
      <w:proofErr w:type="spellStart"/>
      <w:r>
        <w:rPr>
          <w:sz w:val="24"/>
          <w:szCs w:val="24"/>
        </w:rPr>
        <w:t>Flunixin</w:t>
      </w:r>
      <w:proofErr w:type="spellEnd"/>
      <w:r>
        <w:rPr>
          <w:sz w:val="24"/>
          <w:szCs w:val="24"/>
        </w:rPr>
        <w:t xml:space="preserve"> er toksisk for ådselædende fugle. Må ikke administreres til dyr, der kan indgå i den vilde faunas fødekæde. Ved dødsfald eller aflivning af behandlede dyr, skal det sikres, at det afdøde dyr ikke er tilgængeligt for den vilde fauna.  </w:t>
      </w:r>
    </w:p>
    <w:p w:rsidR="004466F3" w:rsidRPr="00397519" w:rsidRDefault="004466F3" w:rsidP="004466F3">
      <w:pPr>
        <w:ind w:left="851"/>
        <w:rPr>
          <w:szCs w:val="22"/>
        </w:rPr>
      </w:pPr>
      <w:r w:rsidRPr="00397519">
        <w:rPr>
          <w:szCs w:val="22"/>
        </w:rPr>
        <w:t>Se også pkt. 3.7.</w:t>
      </w:r>
    </w:p>
    <w:p w:rsidR="004466F3" w:rsidRPr="00397519" w:rsidRDefault="004466F3" w:rsidP="004466F3">
      <w:pPr>
        <w:ind w:left="851"/>
        <w:rPr>
          <w:szCs w:val="22"/>
        </w:rPr>
      </w:pPr>
    </w:p>
    <w:p w:rsidR="004466F3" w:rsidRPr="00397519" w:rsidRDefault="004466F3" w:rsidP="004466F3">
      <w:pPr>
        <w:ind w:left="851"/>
        <w:rPr>
          <w:szCs w:val="22"/>
          <w:u w:val="single"/>
        </w:rPr>
      </w:pPr>
      <w:r w:rsidRPr="00397519">
        <w:rPr>
          <w:szCs w:val="22"/>
          <w:u w:val="single"/>
        </w:rPr>
        <w:t>Særlige forholdsregler for personer, der administrerer veterinærlægemidlet til dyr:</w:t>
      </w:r>
    </w:p>
    <w:p w:rsidR="004466F3" w:rsidRPr="00397519" w:rsidRDefault="004466F3" w:rsidP="004466F3">
      <w:pPr>
        <w:ind w:left="851"/>
        <w:rPr>
          <w:szCs w:val="22"/>
        </w:rPr>
      </w:pPr>
    </w:p>
    <w:p w:rsidR="004466F3" w:rsidRPr="00397519" w:rsidRDefault="004466F3" w:rsidP="004466F3">
      <w:pPr>
        <w:ind w:left="851"/>
        <w:rPr>
          <w:szCs w:val="22"/>
        </w:rPr>
      </w:pPr>
      <w:proofErr w:type="spellStart"/>
      <w:r>
        <w:rPr>
          <w:szCs w:val="22"/>
        </w:rPr>
        <w:t>Flunixinmeglumin</w:t>
      </w:r>
      <w:proofErr w:type="spellEnd"/>
      <w:r>
        <w:rPr>
          <w:szCs w:val="22"/>
        </w:rPr>
        <w:t xml:space="preserve"> er et ikke-steroid antiinflammatorisk stof (NSAID). Veterinærl</w:t>
      </w:r>
      <w:r w:rsidRPr="00397519">
        <w:rPr>
          <w:szCs w:val="22"/>
        </w:rPr>
        <w:t xml:space="preserve">ægemidlet kan forårsage </w:t>
      </w:r>
      <w:r>
        <w:rPr>
          <w:szCs w:val="22"/>
        </w:rPr>
        <w:t xml:space="preserve">en allergisk </w:t>
      </w:r>
      <w:r w:rsidRPr="00397519">
        <w:rPr>
          <w:szCs w:val="22"/>
        </w:rPr>
        <w:t>reaktion hos modtagelige personer.</w:t>
      </w:r>
    </w:p>
    <w:p w:rsidR="004466F3" w:rsidRPr="00397519" w:rsidRDefault="004466F3" w:rsidP="004466F3">
      <w:pPr>
        <w:ind w:left="851"/>
        <w:rPr>
          <w:szCs w:val="22"/>
        </w:rPr>
      </w:pPr>
      <w:r w:rsidRPr="00397519">
        <w:rPr>
          <w:szCs w:val="22"/>
        </w:rPr>
        <w:t>Ved kendt overfølsomhed over for stoffer, der tilhører gruppen af ikke-</w:t>
      </w:r>
      <w:proofErr w:type="spellStart"/>
      <w:r w:rsidRPr="00397519">
        <w:rPr>
          <w:szCs w:val="22"/>
        </w:rPr>
        <w:t>steroide</w:t>
      </w:r>
      <w:proofErr w:type="spellEnd"/>
      <w:r w:rsidRPr="00397519">
        <w:rPr>
          <w:szCs w:val="22"/>
        </w:rPr>
        <w:t xml:space="preserve"> antiinflammatoriske stoffer, bør kontakt med veterinærlægemidlet undgås. Intolerancereaktioner kan være alvorlige.</w:t>
      </w:r>
    </w:p>
    <w:p w:rsidR="004466F3" w:rsidRDefault="004466F3" w:rsidP="004466F3">
      <w:pPr>
        <w:ind w:left="851"/>
        <w:rPr>
          <w:szCs w:val="22"/>
        </w:rPr>
      </w:pPr>
      <w:r>
        <w:rPr>
          <w:szCs w:val="22"/>
        </w:rPr>
        <w:t>Dette veterinærlægemiddel kan forårsage hud- og øjenirritation.</w:t>
      </w:r>
    </w:p>
    <w:p w:rsidR="004466F3" w:rsidRPr="00397519" w:rsidRDefault="004466F3" w:rsidP="004466F3">
      <w:pPr>
        <w:ind w:left="851"/>
        <w:rPr>
          <w:szCs w:val="22"/>
        </w:rPr>
      </w:pPr>
      <w:r w:rsidRPr="00397519">
        <w:rPr>
          <w:szCs w:val="22"/>
        </w:rPr>
        <w:t>Undgå kontakt med hud eller øjne.</w:t>
      </w:r>
    </w:p>
    <w:p w:rsidR="004466F3" w:rsidRPr="00397519" w:rsidRDefault="004466F3" w:rsidP="004466F3">
      <w:pPr>
        <w:ind w:left="851"/>
        <w:rPr>
          <w:szCs w:val="22"/>
        </w:rPr>
      </w:pPr>
      <w:r w:rsidRPr="00397519">
        <w:rPr>
          <w:szCs w:val="22"/>
        </w:rPr>
        <w:t>I tilfælde af kontakt med huden skal det udsatte område vaskes med masser af vand og sæbe. Hvis symptomer vedvarer, skal der søges lægehjælp.</w:t>
      </w:r>
    </w:p>
    <w:p w:rsidR="004466F3" w:rsidRPr="00397519" w:rsidRDefault="004466F3" w:rsidP="004466F3">
      <w:pPr>
        <w:ind w:left="851"/>
        <w:rPr>
          <w:szCs w:val="22"/>
        </w:rPr>
      </w:pPr>
      <w:r w:rsidRPr="00397519">
        <w:rPr>
          <w:szCs w:val="22"/>
        </w:rPr>
        <w:t>I tilfælde af kontakt med øjne skal øjnene vaskes med rent vand, og der skal søges lægehjælp.</w:t>
      </w:r>
    </w:p>
    <w:p w:rsidR="004466F3" w:rsidRPr="00397519" w:rsidRDefault="004466F3" w:rsidP="004466F3">
      <w:pPr>
        <w:ind w:left="851"/>
        <w:rPr>
          <w:szCs w:val="22"/>
        </w:rPr>
      </w:pPr>
      <w:r w:rsidRPr="00397519">
        <w:rPr>
          <w:szCs w:val="22"/>
        </w:rPr>
        <w:t>Undgå risiko for indgift. Spis og drik ikke samtidig med anvendelse af lægemidlet. Vask hænderne efter brug. I tilfælde af indgift skal der søges lægehjælp.</w:t>
      </w:r>
    </w:p>
    <w:p w:rsidR="004466F3" w:rsidRPr="00397519" w:rsidRDefault="004466F3" w:rsidP="004466F3">
      <w:pPr>
        <w:ind w:left="851"/>
        <w:rPr>
          <w:szCs w:val="22"/>
        </w:rPr>
      </w:pPr>
    </w:p>
    <w:p w:rsidR="004466F3" w:rsidRDefault="004466F3" w:rsidP="004466F3">
      <w:pPr>
        <w:ind w:left="851"/>
        <w:rPr>
          <w:szCs w:val="22"/>
        </w:rPr>
      </w:pPr>
      <w:r w:rsidRPr="00397519">
        <w:rPr>
          <w:szCs w:val="22"/>
        </w:rPr>
        <w:t>I tilfælde af selvinjektion ved hændeligt uheld skal der straks søges lægehjælp, og indlægssedlen eller etiketten bør vises til lægen.</w:t>
      </w:r>
    </w:p>
    <w:p w:rsidR="004466F3" w:rsidRPr="00397519" w:rsidRDefault="004466F3" w:rsidP="004466F3">
      <w:pPr>
        <w:ind w:left="851"/>
        <w:rPr>
          <w:szCs w:val="22"/>
        </w:rPr>
      </w:pPr>
      <w:r>
        <w:rPr>
          <w:szCs w:val="22"/>
        </w:rPr>
        <w:t>Vask hænderne efter brug.</w:t>
      </w:r>
    </w:p>
    <w:p w:rsidR="004466F3" w:rsidRPr="00397519" w:rsidRDefault="004466F3" w:rsidP="004466F3">
      <w:pPr>
        <w:ind w:left="851"/>
        <w:rPr>
          <w:szCs w:val="22"/>
        </w:rPr>
      </w:pPr>
    </w:p>
    <w:p w:rsidR="004466F3" w:rsidRPr="00397519" w:rsidRDefault="004466F3" w:rsidP="004466F3">
      <w:pPr>
        <w:ind w:left="851"/>
        <w:rPr>
          <w:szCs w:val="22"/>
          <w:u w:val="single"/>
        </w:rPr>
      </w:pPr>
      <w:r w:rsidRPr="00397519">
        <w:rPr>
          <w:szCs w:val="22"/>
          <w:u w:val="single"/>
        </w:rPr>
        <w:t>Særlige forholdsregler vedrørende beskyttelse af miljøet:</w:t>
      </w:r>
    </w:p>
    <w:p w:rsidR="004466F3" w:rsidRPr="00397519" w:rsidRDefault="004466F3" w:rsidP="004466F3">
      <w:pPr>
        <w:ind w:left="851"/>
        <w:rPr>
          <w:szCs w:val="22"/>
        </w:rPr>
      </w:pPr>
    </w:p>
    <w:p w:rsidR="004466F3" w:rsidRPr="00397519" w:rsidRDefault="004466F3" w:rsidP="004466F3">
      <w:pPr>
        <w:ind w:left="851"/>
        <w:rPr>
          <w:szCs w:val="22"/>
        </w:rPr>
      </w:pPr>
      <w:r w:rsidRPr="00397519">
        <w:rPr>
          <w:szCs w:val="22"/>
        </w:rPr>
        <w:t>Ikke relevant.</w:t>
      </w:r>
    </w:p>
    <w:p w:rsidR="004466F3" w:rsidRDefault="004466F3" w:rsidP="00111AC4">
      <w:pPr>
        <w:ind w:left="851" w:hanging="851"/>
        <w:jc w:val="both"/>
        <w:rPr>
          <w:sz w:val="24"/>
          <w:szCs w:val="24"/>
        </w:rPr>
      </w:pPr>
    </w:p>
    <w:p w:rsidR="004466F3" w:rsidRPr="00397519" w:rsidRDefault="004466F3" w:rsidP="004466F3">
      <w:pPr>
        <w:pStyle w:val="Style1"/>
        <w:ind w:left="851" w:hanging="851"/>
      </w:pPr>
      <w:r w:rsidRPr="00397519">
        <w:t>3.6</w:t>
      </w:r>
      <w:r w:rsidRPr="00397519">
        <w:tab/>
        <w:t>Bivirkninger</w:t>
      </w:r>
    </w:p>
    <w:p w:rsidR="004466F3" w:rsidRDefault="004466F3" w:rsidP="00111AC4">
      <w:pPr>
        <w:ind w:left="851" w:hanging="851"/>
        <w:jc w:val="both"/>
        <w:rPr>
          <w:sz w:val="24"/>
          <w:szCs w:val="24"/>
        </w:rPr>
      </w:pPr>
    </w:p>
    <w:p w:rsidR="004466F3" w:rsidRPr="00397519" w:rsidRDefault="004466F3" w:rsidP="004466F3">
      <w:pPr>
        <w:ind w:left="851"/>
        <w:rPr>
          <w:szCs w:val="22"/>
        </w:rPr>
      </w:pPr>
      <w:r w:rsidRPr="00397519">
        <w:rPr>
          <w:szCs w:val="22"/>
        </w:rPr>
        <w:t>Kvæg:</w:t>
      </w: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4466F3" w:rsidRPr="00397519" w:rsidTr="004466F3">
        <w:tc>
          <w:tcPr>
            <w:tcW w:w="2266" w:type="pct"/>
          </w:tcPr>
          <w:p w:rsidR="004466F3" w:rsidRPr="00397519" w:rsidRDefault="004466F3" w:rsidP="00A9549F">
            <w:pPr>
              <w:spacing w:before="60" w:after="60"/>
              <w:rPr>
                <w:szCs w:val="22"/>
              </w:rPr>
            </w:pPr>
            <w:r w:rsidRPr="00397519">
              <w:rPr>
                <w:szCs w:val="22"/>
              </w:rPr>
              <w:t>Sjælden</w:t>
            </w:r>
          </w:p>
          <w:p w:rsidR="004466F3" w:rsidRPr="00397519" w:rsidRDefault="004466F3" w:rsidP="00A9549F">
            <w:pPr>
              <w:spacing w:before="60" w:after="60"/>
              <w:rPr>
                <w:szCs w:val="22"/>
              </w:rPr>
            </w:pPr>
            <w:r w:rsidRPr="00397519">
              <w:rPr>
                <w:szCs w:val="22"/>
              </w:rPr>
              <w:t>(1 til 10 dyr ud af 10 000 behandlede dyr):</w:t>
            </w:r>
          </w:p>
        </w:tc>
        <w:tc>
          <w:tcPr>
            <w:tcW w:w="2734" w:type="pct"/>
          </w:tcPr>
          <w:p w:rsidR="004466F3" w:rsidRPr="00397519" w:rsidRDefault="004466F3" w:rsidP="00A9549F">
            <w:pPr>
              <w:spacing w:before="60" w:after="60"/>
              <w:rPr>
                <w:szCs w:val="22"/>
                <w:vertAlign w:val="superscript"/>
              </w:rPr>
            </w:pPr>
            <w:proofErr w:type="spellStart"/>
            <w:r w:rsidRPr="00397519">
              <w:rPr>
                <w:szCs w:val="22"/>
              </w:rPr>
              <w:t>Anafylaktiske</w:t>
            </w:r>
            <w:proofErr w:type="spellEnd"/>
            <w:r w:rsidRPr="00397519">
              <w:rPr>
                <w:szCs w:val="22"/>
              </w:rPr>
              <w:t xml:space="preserve"> reaktioner (kollaps)</w:t>
            </w:r>
            <w:r w:rsidRPr="00397519">
              <w:rPr>
                <w:szCs w:val="22"/>
                <w:vertAlign w:val="superscript"/>
              </w:rPr>
              <w:t>1</w:t>
            </w:r>
          </w:p>
          <w:p w:rsidR="004466F3" w:rsidRPr="00397519" w:rsidRDefault="004466F3" w:rsidP="00A9549F">
            <w:pPr>
              <w:spacing w:before="60" w:after="60"/>
              <w:rPr>
                <w:iCs/>
                <w:szCs w:val="22"/>
              </w:rPr>
            </w:pPr>
            <w:r w:rsidRPr="00397519">
              <w:rPr>
                <w:iCs/>
                <w:szCs w:val="22"/>
              </w:rPr>
              <w:t>Død</w:t>
            </w:r>
            <w:r w:rsidRPr="00397519">
              <w:rPr>
                <w:iCs/>
                <w:szCs w:val="22"/>
                <w:vertAlign w:val="superscript"/>
              </w:rPr>
              <w:t>1</w:t>
            </w:r>
          </w:p>
        </w:tc>
      </w:tr>
      <w:tr w:rsidR="004466F3" w:rsidRPr="00397519" w:rsidTr="004466F3">
        <w:tc>
          <w:tcPr>
            <w:tcW w:w="2266" w:type="pct"/>
          </w:tcPr>
          <w:p w:rsidR="004466F3" w:rsidRPr="00397519" w:rsidRDefault="004466F3" w:rsidP="00A9549F">
            <w:pPr>
              <w:spacing w:before="60" w:after="60"/>
              <w:rPr>
                <w:szCs w:val="22"/>
              </w:rPr>
            </w:pPr>
            <w:r w:rsidRPr="00397519">
              <w:rPr>
                <w:szCs w:val="22"/>
              </w:rPr>
              <w:t>Meget sjælden</w:t>
            </w:r>
          </w:p>
          <w:p w:rsidR="004466F3" w:rsidRPr="00397519" w:rsidRDefault="004466F3" w:rsidP="00A9549F">
            <w:pPr>
              <w:spacing w:before="60" w:after="60"/>
              <w:rPr>
                <w:szCs w:val="22"/>
              </w:rPr>
            </w:pPr>
            <w:r w:rsidRPr="00397519">
              <w:rPr>
                <w:szCs w:val="22"/>
              </w:rPr>
              <w:t>(&lt; 1 dyr ud af 10 000 behandlede dyr, herunder enkeltstående indberetninger):</w:t>
            </w:r>
          </w:p>
        </w:tc>
        <w:tc>
          <w:tcPr>
            <w:tcW w:w="2734" w:type="pct"/>
          </w:tcPr>
          <w:p w:rsidR="004466F3" w:rsidRPr="00397519" w:rsidRDefault="004466F3" w:rsidP="00A9549F">
            <w:pPr>
              <w:spacing w:before="60" w:after="60"/>
              <w:rPr>
                <w:iCs/>
                <w:szCs w:val="22"/>
              </w:rPr>
            </w:pPr>
            <w:r w:rsidRPr="00397519">
              <w:rPr>
                <w:iCs/>
                <w:szCs w:val="22"/>
              </w:rPr>
              <w:t>Blødning</w:t>
            </w:r>
            <w:r w:rsidRPr="00397519">
              <w:rPr>
                <w:iCs/>
                <w:szCs w:val="22"/>
                <w:vertAlign w:val="superscript"/>
              </w:rPr>
              <w:t>2</w:t>
            </w:r>
            <w:r w:rsidRPr="00397519">
              <w:rPr>
                <w:iCs/>
                <w:szCs w:val="22"/>
              </w:rPr>
              <w:t xml:space="preserve">, </w:t>
            </w:r>
            <w:proofErr w:type="spellStart"/>
            <w:r w:rsidRPr="00397519">
              <w:rPr>
                <w:iCs/>
                <w:szCs w:val="22"/>
              </w:rPr>
              <w:t>gastrointestinal</w:t>
            </w:r>
            <w:proofErr w:type="spellEnd"/>
            <w:r w:rsidRPr="00397519">
              <w:rPr>
                <w:iCs/>
                <w:szCs w:val="22"/>
              </w:rPr>
              <w:t xml:space="preserve"> irritation</w:t>
            </w:r>
            <w:r w:rsidRPr="00397519">
              <w:rPr>
                <w:iCs/>
                <w:szCs w:val="22"/>
                <w:vertAlign w:val="superscript"/>
              </w:rPr>
              <w:t>2</w:t>
            </w:r>
            <w:r w:rsidRPr="00397519">
              <w:rPr>
                <w:iCs/>
                <w:szCs w:val="22"/>
              </w:rPr>
              <w:t>, mavesår</w:t>
            </w:r>
            <w:r w:rsidRPr="00397519">
              <w:rPr>
                <w:iCs/>
                <w:szCs w:val="22"/>
                <w:vertAlign w:val="superscript"/>
              </w:rPr>
              <w:t>2</w:t>
            </w:r>
            <w:r w:rsidRPr="00397519">
              <w:rPr>
                <w:iCs/>
                <w:szCs w:val="22"/>
              </w:rPr>
              <w:t xml:space="preserve">, </w:t>
            </w:r>
          </w:p>
          <w:p w:rsidR="004466F3" w:rsidRPr="00397519" w:rsidRDefault="004466F3" w:rsidP="00A9549F">
            <w:pPr>
              <w:spacing w:before="60" w:after="60"/>
              <w:rPr>
                <w:iCs/>
                <w:szCs w:val="22"/>
              </w:rPr>
            </w:pPr>
            <w:r w:rsidRPr="00397519">
              <w:rPr>
                <w:iCs/>
                <w:szCs w:val="22"/>
              </w:rPr>
              <w:t>Nyre</w:t>
            </w:r>
            <w:r>
              <w:rPr>
                <w:iCs/>
                <w:szCs w:val="22"/>
              </w:rPr>
              <w:t>skade</w:t>
            </w:r>
            <w:r w:rsidRPr="00397519">
              <w:rPr>
                <w:iCs/>
                <w:szCs w:val="22"/>
                <w:vertAlign w:val="superscript"/>
              </w:rPr>
              <w:t>2</w:t>
            </w:r>
            <w:r w:rsidRPr="00397519">
              <w:rPr>
                <w:iCs/>
                <w:szCs w:val="22"/>
              </w:rPr>
              <w:t xml:space="preserve"> </w:t>
            </w:r>
          </w:p>
          <w:p w:rsidR="004466F3" w:rsidRPr="00397519" w:rsidRDefault="004466F3" w:rsidP="00A9549F">
            <w:pPr>
              <w:spacing w:before="60" w:after="60"/>
              <w:rPr>
                <w:iCs/>
                <w:szCs w:val="22"/>
              </w:rPr>
            </w:pPr>
            <w:r w:rsidRPr="00397519">
              <w:rPr>
                <w:iCs/>
                <w:szCs w:val="22"/>
              </w:rPr>
              <w:t>Reaktion på injektionsstedet</w:t>
            </w:r>
            <w:r w:rsidRPr="00397519">
              <w:rPr>
                <w:iCs/>
                <w:szCs w:val="22"/>
                <w:vertAlign w:val="superscript"/>
              </w:rPr>
              <w:t>3</w:t>
            </w:r>
          </w:p>
        </w:tc>
      </w:tr>
      <w:tr w:rsidR="004466F3" w:rsidRPr="00397519" w:rsidTr="004466F3">
        <w:tc>
          <w:tcPr>
            <w:tcW w:w="2266" w:type="pct"/>
          </w:tcPr>
          <w:p w:rsidR="004466F3" w:rsidRDefault="004466F3" w:rsidP="00A9549F">
            <w:pPr>
              <w:spacing w:before="60" w:after="60"/>
              <w:rPr>
                <w:szCs w:val="22"/>
              </w:rPr>
            </w:pPr>
            <w:r>
              <w:rPr>
                <w:szCs w:val="22"/>
              </w:rPr>
              <w:t>Ikke kendt</w:t>
            </w:r>
          </w:p>
          <w:p w:rsidR="004466F3" w:rsidRPr="00397519" w:rsidRDefault="004466F3" w:rsidP="00A9549F">
            <w:pPr>
              <w:spacing w:before="60" w:after="60"/>
              <w:rPr>
                <w:szCs w:val="22"/>
              </w:rPr>
            </w:pPr>
            <w:r>
              <w:rPr>
                <w:szCs w:val="22"/>
              </w:rPr>
              <w:t>(</w:t>
            </w:r>
            <w:r>
              <w:rPr>
                <w:bCs/>
              </w:rPr>
              <w:t>hyppigheden kan ikke estimeres ud fra forhåndenværende data</w:t>
            </w:r>
            <w:r>
              <w:rPr>
                <w:szCs w:val="22"/>
              </w:rPr>
              <w:t>)</w:t>
            </w:r>
          </w:p>
        </w:tc>
        <w:tc>
          <w:tcPr>
            <w:tcW w:w="2734" w:type="pct"/>
          </w:tcPr>
          <w:p w:rsidR="004466F3" w:rsidRPr="00397519" w:rsidRDefault="004466F3" w:rsidP="00A9549F">
            <w:pPr>
              <w:spacing w:before="60" w:after="60"/>
              <w:rPr>
                <w:szCs w:val="22"/>
              </w:rPr>
            </w:pPr>
            <w:r w:rsidRPr="00397519">
              <w:rPr>
                <w:szCs w:val="22"/>
              </w:rPr>
              <w:t>Nyre- og leverlidelser</w:t>
            </w:r>
            <w:r w:rsidRPr="00397519">
              <w:rPr>
                <w:szCs w:val="22"/>
                <w:vertAlign w:val="superscript"/>
              </w:rPr>
              <w:t>4</w:t>
            </w:r>
          </w:p>
          <w:p w:rsidR="004466F3" w:rsidRPr="00397519" w:rsidRDefault="004466F3" w:rsidP="00A9549F">
            <w:pPr>
              <w:spacing w:before="60" w:after="60"/>
              <w:rPr>
                <w:szCs w:val="22"/>
              </w:rPr>
            </w:pPr>
            <w:r w:rsidRPr="00397519">
              <w:rPr>
                <w:szCs w:val="22"/>
              </w:rPr>
              <w:t>Forsinket fødsel</w:t>
            </w:r>
            <w:r w:rsidRPr="00397519">
              <w:rPr>
                <w:szCs w:val="22"/>
                <w:vertAlign w:val="superscript"/>
              </w:rPr>
              <w:t>5</w:t>
            </w:r>
            <w:r w:rsidRPr="00397519">
              <w:rPr>
                <w:szCs w:val="22"/>
              </w:rPr>
              <w:t>, øget antal dødfødte</w:t>
            </w:r>
            <w:r w:rsidRPr="00397519">
              <w:rPr>
                <w:szCs w:val="22"/>
                <w:vertAlign w:val="superscript"/>
              </w:rPr>
              <w:t>5</w:t>
            </w:r>
            <w:r w:rsidRPr="00397519">
              <w:rPr>
                <w:szCs w:val="22"/>
              </w:rPr>
              <w:t>, tilbageholdt efterbyrd</w:t>
            </w:r>
            <w:r w:rsidRPr="00397519">
              <w:rPr>
                <w:szCs w:val="22"/>
                <w:vertAlign w:val="superscript"/>
              </w:rPr>
              <w:t>6</w:t>
            </w:r>
          </w:p>
        </w:tc>
      </w:tr>
    </w:tbl>
    <w:p w:rsidR="004466F3" w:rsidRPr="00397519" w:rsidRDefault="004466F3" w:rsidP="004466F3">
      <w:pPr>
        <w:ind w:left="851"/>
        <w:rPr>
          <w:szCs w:val="22"/>
        </w:rPr>
      </w:pPr>
      <w:r w:rsidRPr="00397519">
        <w:rPr>
          <w:szCs w:val="22"/>
          <w:vertAlign w:val="superscript"/>
        </w:rPr>
        <w:t>1</w:t>
      </w:r>
      <w:r w:rsidRPr="00397519">
        <w:rPr>
          <w:szCs w:val="22"/>
        </w:rPr>
        <w:t xml:space="preserve"> Hovedsageligt i tilslutning til hurtig intravenøs injektion.</w:t>
      </w:r>
    </w:p>
    <w:p w:rsidR="004466F3" w:rsidRPr="00397519" w:rsidRDefault="004466F3" w:rsidP="004466F3">
      <w:pPr>
        <w:ind w:left="851"/>
        <w:rPr>
          <w:szCs w:val="22"/>
        </w:rPr>
      </w:pPr>
      <w:r w:rsidRPr="00397519">
        <w:rPr>
          <w:szCs w:val="22"/>
          <w:vertAlign w:val="superscript"/>
        </w:rPr>
        <w:t>2</w:t>
      </w:r>
      <w:r w:rsidRPr="00397519">
        <w:rPr>
          <w:szCs w:val="22"/>
        </w:rPr>
        <w:t xml:space="preserve"> Især hos dehydrerede eller </w:t>
      </w:r>
      <w:proofErr w:type="spellStart"/>
      <w:r w:rsidRPr="00397519">
        <w:rPr>
          <w:szCs w:val="22"/>
        </w:rPr>
        <w:t>hypovolæmiske</w:t>
      </w:r>
      <w:proofErr w:type="spellEnd"/>
      <w:r w:rsidRPr="00397519">
        <w:rPr>
          <w:szCs w:val="22"/>
        </w:rPr>
        <w:t xml:space="preserve"> dyr.</w:t>
      </w:r>
    </w:p>
    <w:p w:rsidR="004466F3" w:rsidRPr="00397519" w:rsidRDefault="004466F3" w:rsidP="004466F3">
      <w:pPr>
        <w:ind w:left="851"/>
        <w:rPr>
          <w:szCs w:val="22"/>
        </w:rPr>
      </w:pPr>
      <w:r w:rsidRPr="00397519">
        <w:rPr>
          <w:szCs w:val="22"/>
          <w:vertAlign w:val="superscript"/>
        </w:rPr>
        <w:t>3</w:t>
      </w:r>
      <w:r w:rsidRPr="00397519">
        <w:rPr>
          <w:szCs w:val="22"/>
        </w:rPr>
        <w:t xml:space="preserve"> Efter intramuskulær injektion.</w:t>
      </w:r>
    </w:p>
    <w:p w:rsidR="004466F3" w:rsidRPr="00397519" w:rsidRDefault="004466F3" w:rsidP="004466F3">
      <w:pPr>
        <w:ind w:left="851"/>
        <w:rPr>
          <w:szCs w:val="22"/>
          <w:lang w:val="nb-NO"/>
        </w:rPr>
      </w:pPr>
      <w:r w:rsidRPr="00397519">
        <w:rPr>
          <w:szCs w:val="22"/>
          <w:vertAlign w:val="superscript"/>
          <w:lang w:val="nb-NO"/>
        </w:rPr>
        <w:t>4</w:t>
      </w:r>
      <w:r w:rsidRPr="00397519">
        <w:rPr>
          <w:szCs w:val="22"/>
          <w:lang w:val="nb-NO"/>
        </w:rPr>
        <w:t xml:space="preserve"> Idiosyncrasi</w:t>
      </w:r>
    </w:p>
    <w:p w:rsidR="004466F3" w:rsidRPr="00397519" w:rsidRDefault="004466F3" w:rsidP="004466F3">
      <w:pPr>
        <w:ind w:left="851"/>
        <w:rPr>
          <w:szCs w:val="22"/>
          <w:lang w:val="nb-NO"/>
        </w:rPr>
      </w:pPr>
      <w:r w:rsidRPr="00397519">
        <w:rPr>
          <w:szCs w:val="22"/>
          <w:vertAlign w:val="superscript"/>
          <w:lang w:val="nb-NO"/>
        </w:rPr>
        <w:lastRenderedPageBreak/>
        <w:t>5</w:t>
      </w:r>
      <w:r w:rsidRPr="00397519">
        <w:rPr>
          <w:szCs w:val="22"/>
          <w:lang w:val="nb-NO"/>
        </w:rPr>
        <w:t xml:space="preserve"> Via en tokolytisk virkning ved at hæmme de prostaglandiner, der er vigtige for fødslens igangsættelse.</w:t>
      </w:r>
    </w:p>
    <w:p w:rsidR="004466F3" w:rsidRPr="00397519" w:rsidRDefault="004466F3" w:rsidP="004466F3">
      <w:pPr>
        <w:ind w:left="851"/>
        <w:rPr>
          <w:szCs w:val="22"/>
        </w:rPr>
      </w:pPr>
      <w:r w:rsidRPr="00397519">
        <w:rPr>
          <w:szCs w:val="22"/>
          <w:vertAlign w:val="superscript"/>
        </w:rPr>
        <w:t>6</w:t>
      </w:r>
      <w:r w:rsidRPr="00397519">
        <w:rPr>
          <w:szCs w:val="22"/>
        </w:rPr>
        <w:t xml:space="preserve"> Ved brug af veterinærlægemidlet umiddelbart post </w:t>
      </w:r>
      <w:proofErr w:type="spellStart"/>
      <w:r w:rsidRPr="00397519">
        <w:rPr>
          <w:szCs w:val="22"/>
        </w:rPr>
        <w:t>partum</w:t>
      </w:r>
      <w:proofErr w:type="spellEnd"/>
      <w:r w:rsidRPr="00397519">
        <w:rPr>
          <w:szCs w:val="22"/>
        </w:rPr>
        <w:t>.</w:t>
      </w:r>
    </w:p>
    <w:p w:rsidR="004466F3" w:rsidRPr="00397519" w:rsidRDefault="004466F3" w:rsidP="004466F3">
      <w:pPr>
        <w:ind w:left="851"/>
        <w:rPr>
          <w:szCs w:val="22"/>
        </w:rPr>
      </w:pPr>
    </w:p>
    <w:p w:rsidR="004466F3" w:rsidRPr="00397519" w:rsidRDefault="004466F3" w:rsidP="004466F3">
      <w:pPr>
        <w:ind w:left="851"/>
        <w:rPr>
          <w:szCs w:val="22"/>
        </w:rPr>
      </w:pPr>
      <w:r w:rsidRPr="00397519">
        <w:rPr>
          <w:szCs w:val="22"/>
        </w:rPr>
        <w:t>Hest:</w:t>
      </w: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4466F3" w:rsidRPr="00397519" w:rsidTr="004466F3">
        <w:tc>
          <w:tcPr>
            <w:tcW w:w="2266" w:type="pct"/>
          </w:tcPr>
          <w:p w:rsidR="004466F3" w:rsidRPr="00397519" w:rsidRDefault="004466F3" w:rsidP="00A9549F">
            <w:pPr>
              <w:spacing w:before="60" w:after="60"/>
              <w:rPr>
                <w:szCs w:val="22"/>
              </w:rPr>
            </w:pPr>
            <w:r w:rsidRPr="00397519">
              <w:rPr>
                <w:szCs w:val="22"/>
              </w:rPr>
              <w:t>Sjælden</w:t>
            </w:r>
          </w:p>
          <w:p w:rsidR="004466F3" w:rsidRPr="00397519" w:rsidRDefault="004466F3" w:rsidP="00A9549F">
            <w:pPr>
              <w:spacing w:before="60" w:after="60"/>
              <w:rPr>
                <w:szCs w:val="22"/>
              </w:rPr>
            </w:pPr>
            <w:r w:rsidRPr="00397519">
              <w:rPr>
                <w:szCs w:val="22"/>
              </w:rPr>
              <w:t>(1 til 10 dyr ud af 10 000 behandlede dyr):</w:t>
            </w:r>
          </w:p>
        </w:tc>
        <w:tc>
          <w:tcPr>
            <w:tcW w:w="2734" w:type="pct"/>
          </w:tcPr>
          <w:p w:rsidR="004466F3" w:rsidRPr="00397519" w:rsidRDefault="004466F3" w:rsidP="00A9549F">
            <w:pPr>
              <w:spacing w:before="60" w:after="60"/>
              <w:rPr>
                <w:szCs w:val="22"/>
                <w:vertAlign w:val="superscript"/>
              </w:rPr>
            </w:pPr>
            <w:proofErr w:type="spellStart"/>
            <w:r w:rsidRPr="00397519">
              <w:rPr>
                <w:szCs w:val="22"/>
              </w:rPr>
              <w:t>Anafylaktiske</w:t>
            </w:r>
            <w:proofErr w:type="spellEnd"/>
            <w:r w:rsidRPr="00397519">
              <w:rPr>
                <w:szCs w:val="22"/>
              </w:rPr>
              <w:t xml:space="preserve"> reaktioner (kollaps)</w:t>
            </w:r>
            <w:r w:rsidRPr="00397519">
              <w:rPr>
                <w:szCs w:val="22"/>
                <w:vertAlign w:val="superscript"/>
              </w:rPr>
              <w:t>1</w:t>
            </w:r>
          </w:p>
          <w:p w:rsidR="004466F3" w:rsidRPr="00397519" w:rsidRDefault="004466F3" w:rsidP="00A9549F">
            <w:pPr>
              <w:spacing w:before="60" w:after="60"/>
              <w:rPr>
                <w:iCs/>
                <w:szCs w:val="22"/>
              </w:rPr>
            </w:pPr>
            <w:r w:rsidRPr="00397519">
              <w:rPr>
                <w:iCs/>
                <w:szCs w:val="22"/>
              </w:rPr>
              <w:t>Død</w:t>
            </w:r>
            <w:r w:rsidRPr="00397519">
              <w:rPr>
                <w:iCs/>
                <w:szCs w:val="22"/>
                <w:vertAlign w:val="superscript"/>
              </w:rPr>
              <w:t>1</w:t>
            </w:r>
          </w:p>
        </w:tc>
      </w:tr>
      <w:tr w:rsidR="004466F3" w:rsidRPr="00397519" w:rsidTr="004466F3">
        <w:tc>
          <w:tcPr>
            <w:tcW w:w="2266" w:type="pct"/>
          </w:tcPr>
          <w:p w:rsidR="004466F3" w:rsidRPr="00397519" w:rsidRDefault="004466F3" w:rsidP="00A9549F">
            <w:pPr>
              <w:spacing w:before="60" w:after="60"/>
              <w:rPr>
                <w:szCs w:val="22"/>
              </w:rPr>
            </w:pPr>
            <w:r w:rsidRPr="00397519">
              <w:rPr>
                <w:szCs w:val="22"/>
              </w:rPr>
              <w:t>Meget sjælden</w:t>
            </w:r>
          </w:p>
          <w:p w:rsidR="004466F3" w:rsidRPr="00397519" w:rsidRDefault="004466F3" w:rsidP="00A9549F">
            <w:pPr>
              <w:spacing w:before="60" w:after="60"/>
              <w:rPr>
                <w:szCs w:val="22"/>
              </w:rPr>
            </w:pPr>
            <w:r w:rsidRPr="00397519">
              <w:rPr>
                <w:szCs w:val="22"/>
              </w:rPr>
              <w:t>(&lt; 1 dyr ud af 10 000 behandlede dyr, herunder enkeltstående indberetninger):</w:t>
            </w:r>
          </w:p>
        </w:tc>
        <w:tc>
          <w:tcPr>
            <w:tcW w:w="2734" w:type="pct"/>
          </w:tcPr>
          <w:p w:rsidR="004466F3" w:rsidRPr="00397519" w:rsidRDefault="004466F3" w:rsidP="00A9549F">
            <w:pPr>
              <w:spacing w:before="60" w:after="60"/>
              <w:rPr>
                <w:iCs/>
                <w:szCs w:val="22"/>
              </w:rPr>
            </w:pPr>
            <w:r w:rsidRPr="00397519">
              <w:rPr>
                <w:iCs/>
                <w:szCs w:val="22"/>
              </w:rPr>
              <w:t>Blødning</w:t>
            </w:r>
            <w:r w:rsidRPr="00397519">
              <w:rPr>
                <w:iCs/>
                <w:szCs w:val="22"/>
                <w:vertAlign w:val="superscript"/>
              </w:rPr>
              <w:t>2</w:t>
            </w:r>
            <w:r w:rsidRPr="00397519">
              <w:rPr>
                <w:iCs/>
                <w:szCs w:val="22"/>
              </w:rPr>
              <w:t xml:space="preserve">, </w:t>
            </w:r>
            <w:proofErr w:type="spellStart"/>
            <w:r w:rsidRPr="00397519">
              <w:rPr>
                <w:iCs/>
                <w:szCs w:val="22"/>
              </w:rPr>
              <w:t>gastrointestinal</w:t>
            </w:r>
            <w:proofErr w:type="spellEnd"/>
            <w:r w:rsidRPr="00397519">
              <w:rPr>
                <w:iCs/>
                <w:szCs w:val="22"/>
              </w:rPr>
              <w:t xml:space="preserve"> irritation</w:t>
            </w:r>
            <w:r w:rsidRPr="00397519">
              <w:rPr>
                <w:iCs/>
                <w:szCs w:val="22"/>
                <w:vertAlign w:val="superscript"/>
              </w:rPr>
              <w:t>2</w:t>
            </w:r>
            <w:r w:rsidRPr="00397519">
              <w:rPr>
                <w:iCs/>
                <w:szCs w:val="22"/>
              </w:rPr>
              <w:t>, mavesår</w:t>
            </w:r>
            <w:r w:rsidRPr="00397519">
              <w:rPr>
                <w:iCs/>
                <w:szCs w:val="22"/>
                <w:vertAlign w:val="superscript"/>
              </w:rPr>
              <w:t>2</w:t>
            </w:r>
            <w:r w:rsidRPr="00397519">
              <w:rPr>
                <w:iCs/>
                <w:szCs w:val="22"/>
              </w:rPr>
              <w:t xml:space="preserve">, blod i fæces, vandig diarré </w:t>
            </w:r>
          </w:p>
          <w:p w:rsidR="004466F3" w:rsidRPr="00397519" w:rsidRDefault="004466F3" w:rsidP="00A9549F">
            <w:pPr>
              <w:spacing w:before="60" w:after="60"/>
              <w:rPr>
                <w:iCs/>
                <w:szCs w:val="22"/>
              </w:rPr>
            </w:pPr>
            <w:r w:rsidRPr="00397519">
              <w:rPr>
                <w:iCs/>
                <w:szCs w:val="22"/>
              </w:rPr>
              <w:t>Nyre</w:t>
            </w:r>
            <w:r>
              <w:rPr>
                <w:iCs/>
                <w:szCs w:val="22"/>
              </w:rPr>
              <w:t>skade</w:t>
            </w:r>
            <w:r w:rsidRPr="00397519">
              <w:rPr>
                <w:iCs/>
                <w:szCs w:val="22"/>
                <w:vertAlign w:val="superscript"/>
              </w:rPr>
              <w:t>2</w:t>
            </w:r>
            <w:r w:rsidRPr="00397519">
              <w:rPr>
                <w:iCs/>
                <w:szCs w:val="22"/>
              </w:rPr>
              <w:t xml:space="preserve"> </w:t>
            </w:r>
          </w:p>
        </w:tc>
      </w:tr>
      <w:tr w:rsidR="004466F3" w:rsidRPr="00397519" w:rsidTr="004466F3">
        <w:tc>
          <w:tcPr>
            <w:tcW w:w="2266" w:type="pct"/>
          </w:tcPr>
          <w:p w:rsidR="004466F3" w:rsidRPr="00397519" w:rsidRDefault="004466F3" w:rsidP="00A9549F">
            <w:pPr>
              <w:spacing w:before="60" w:after="60"/>
              <w:rPr>
                <w:szCs w:val="22"/>
              </w:rPr>
            </w:pPr>
            <w:r>
              <w:rPr>
                <w:szCs w:val="22"/>
              </w:rPr>
              <w:t>Ikke kendt</w:t>
            </w:r>
            <w:r w:rsidRPr="00397519" w:rsidDel="009123F9">
              <w:rPr>
                <w:szCs w:val="22"/>
              </w:rPr>
              <w:t xml:space="preserve"> </w:t>
            </w:r>
            <w:r>
              <w:rPr>
                <w:szCs w:val="22"/>
              </w:rPr>
              <w:t>(</w:t>
            </w:r>
            <w:r>
              <w:rPr>
                <w:bCs/>
              </w:rPr>
              <w:t>hyppigheden kan ikke estimeres ud fra forhåndenværende data</w:t>
            </w:r>
            <w:r>
              <w:rPr>
                <w:szCs w:val="22"/>
              </w:rPr>
              <w:t>)</w:t>
            </w:r>
          </w:p>
        </w:tc>
        <w:tc>
          <w:tcPr>
            <w:tcW w:w="2734" w:type="pct"/>
          </w:tcPr>
          <w:p w:rsidR="004466F3" w:rsidRPr="00397519" w:rsidRDefault="004466F3" w:rsidP="00A9549F">
            <w:pPr>
              <w:spacing w:before="60" w:after="60"/>
              <w:rPr>
                <w:szCs w:val="22"/>
              </w:rPr>
            </w:pPr>
            <w:r w:rsidRPr="00397519">
              <w:rPr>
                <w:szCs w:val="22"/>
              </w:rPr>
              <w:t>Nyre- og leverlidelser</w:t>
            </w:r>
            <w:r w:rsidRPr="00397519">
              <w:rPr>
                <w:szCs w:val="22"/>
                <w:vertAlign w:val="superscript"/>
              </w:rPr>
              <w:t>3</w:t>
            </w:r>
          </w:p>
          <w:p w:rsidR="004466F3" w:rsidRPr="00397519" w:rsidRDefault="004466F3" w:rsidP="00A9549F">
            <w:pPr>
              <w:spacing w:before="60" w:after="60"/>
              <w:rPr>
                <w:szCs w:val="22"/>
              </w:rPr>
            </w:pPr>
            <w:r w:rsidRPr="00397519">
              <w:rPr>
                <w:szCs w:val="22"/>
              </w:rPr>
              <w:t>Forsinket fødsel</w:t>
            </w:r>
            <w:r w:rsidRPr="00397519">
              <w:rPr>
                <w:szCs w:val="22"/>
                <w:vertAlign w:val="superscript"/>
              </w:rPr>
              <w:t>4</w:t>
            </w:r>
            <w:r w:rsidRPr="00397519">
              <w:rPr>
                <w:szCs w:val="22"/>
              </w:rPr>
              <w:t>, øget antal dødfødte</w:t>
            </w:r>
            <w:r w:rsidRPr="00397519">
              <w:rPr>
                <w:szCs w:val="22"/>
                <w:vertAlign w:val="superscript"/>
              </w:rPr>
              <w:t>4</w:t>
            </w:r>
            <w:r w:rsidRPr="00397519">
              <w:rPr>
                <w:szCs w:val="22"/>
              </w:rPr>
              <w:t>, tilbageholdt efterbyrd</w:t>
            </w:r>
            <w:r w:rsidRPr="00397519">
              <w:rPr>
                <w:szCs w:val="22"/>
                <w:vertAlign w:val="superscript"/>
              </w:rPr>
              <w:t>5</w:t>
            </w:r>
          </w:p>
        </w:tc>
      </w:tr>
    </w:tbl>
    <w:p w:rsidR="004466F3" w:rsidRPr="00397519" w:rsidRDefault="004466F3" w:rsidP="004466F3">
      <w:pPr>
        <w:ind w:left="851"/>
        <w:rPr>
          <w:szCs w:val="22"/>
        </w:rPr>
      </w:pPr>
      <w:r w:rsidRPr="00397519">
        <w:rPr>
          <w:szCs w:val="22"/>
          <w:vertAlign w:val="superscript"/>
        </w:rPr>
        <w:t>1</w:t>
      </w:r>
      <w:r w:rsidRPr="00397519">
        <w:rPr>
          <w:szCs w:val="22"/>
        </w:rPr>
        <w:t xml:space="preserve"> Hovedsageligt i tilslutning til hurtig intravenøs injektion.</w:t>
      </w:r>
    </w:p>
    <w:p w:rsidR="004466F3" w:rsidRPr="00397519" w:rsidRDefault="004466F3" w:rsidP="004466F3">
      <w:pPr>
        <w:ind w:left="851"/>
        <w:rPr>
          <w:szCs w:val="22"/>
        </w:rPr>
      </w:pPr>
      <w:r w:rsidRPr="00397519">
        <w:rPr>
          <w:szCs w:val="22"/>
          <w:vertAlign w:val="superscript"/>
        </w:rPr>
        <w:t>2</w:t>
      </w:r>
      <w:r w:rsidRPr="00397519">
        <w:rPr>
          <w:szCs w:val="22"/>
        </w:rPr>
        <w:t xml:space="preserve"> Især hos dehydrerede eller </w:t>
      </w:r>
      <w:proofErr w:type="spellStart"/>
      <w:r w:rsidRPr="00397519">
        <w:rPr>
          <w:szCs w:val="22"/>
        </w:rPr>
        <w:t>hypovolæmiske</w:t>
      </w:r>
      <w:proofErr w:type="spellEnd"/>
      <w:r w:rsidRPr="00397519">
        <w:rPr>
          <w:szCs w:val="22"/>
        </w:rPr>
        <w:t xml:space="preserve"> dyr.</w:t>
      </w:r>
    </w:p>
    <w:p w:rsidR="004466F3" w:rsidRPr="00397519" w:rsidRDefault="004466F3" w:rsidP="004466F3">
      <w:pPr>
        <w:ind w:left="851"/>
        <w:rPr>
          <w:szCs w:val="22"/>
        </w:rPr>
      </w:pPr>
      <w:r w:rsidRPr="00397519">
        <w:rPr>
          <w:szCs w:val="22"/>
          <w:vertAlign w:val="superscript"/>
        </w:rPr>
        <w:t>3</w:t>
      </w:r>
      <w:r w:rsidRPr="00397519">
        <w:rPr>
          <w:szCs w:val="22"/>
        </w:rPr>
        <w:t xml:space="preserve"> </w:t>
      </w:r>
      <w:proofErr w:type="spellStart"/>
      <w:r w:rsidRPr="00397519">
        <w:rPr>
          <w:szCs w:val="22"/>
        </w:rPr>
        <w:t>Idiosyncrasi</w:t>
      </w:r>
      <w:proofErr w:type="spellEnd"/>
    </w:p>
    <w:p w:rsidR="004466F3" w:rsidRPr="00397519" w:rsidRDefault="004466F3" w:rsidP="004466F3">
      <w:pPr>
        <w:ind w:left="851"/>
        <w:rPr>
          <w:szCs w:val="22"/>
        </w:rPr>
      </w:pPr>
      <w:r w:rsidRPr="00397519">
        <w:rPr>
          <w:szCs w:val="22"/>
          <w:vertAlign w:val="superscript"/>
        </w:rPr>
        <w:t>4</w:t>
      </w:r>
      <w:r w:rsidRPr="00397519">
        <w:rPr>
          <w:szCs w:val="22"/>
        </w:rPr>
        <w:t xml:space="preserve"> Via en </w:t>
      </w:r>
      <w:proofErr w:type="spellStart"/>
      <w:r w:rsidRPr="00397519">
        <w:rPr>
          <w:szCs w:val="22"/>
        </w:rPr>
        <w:t>tokolytisk</w:t>
      </w:r>
      <w:proofErr w:type="spellEnd"/>
      <w:r w:rsidRPr="00397519">
        <w:rPr>
          <w:szCs w:val="22"/>
        </w:rPr>
        <w:t xml:space="preserve"> virkning ved at hæmme de </w:t>
      </w:r>
      <w:proofErr w:type="spellStart"/>
      <w:r w:rsidRPr="00397519">
        <w:rPr>
          <w:szCs w:val="22"/>
        </w:rPr>
        <w:t>prostaglandiner</w:t>
      </w:r>
      <w:proofErr w:type="spellEnd"/>
      <w:r w:rsidRPr="00397519">
        <w:rPr>
          <w:szCs w:val="22"/>
        </w:rPr>
        <w:t>, der er vigtige for fødslens igangsættelse.</w:t>
      </w:r>
    </w:p>
    <w:p w:rsidR="004466F3" w:rsidRPr="00397519" w:rsidRDefault="004466F3" w:rsidP="004466F3">
      <w:pPr>
        <w:ind w:left="851"/>
        <w:rPr>
          <w:szCs w:val="22"/>
        </w:rPr>
      </w:pPr>
      <w:r w:rsidRPr="00397519">
        <w:rPr>
          <w:szCs w:val="22"/>
          <w:vertAlign w:val="superscript"/>
        </w:rPr>
        <w:t>5</w:t>
      </w:r>
      <w:r w:rsidRPr="00397519">
        <w:rPr>
          <w:szCs w:val="22"/>
        </w:rPr>
        <w:t xml:space="preserve"> Ved brug af veterinærlægemidlet umiddelbart post </w:t>
      </w:r>
      <w:proofErr w:type="spellStart"/>
      <w:r w:rsidRPr="00397519">
        <w:rPr>
          <w:szCs w:val="22"/>
        </w:rPr>
        <w:t>partum</w:t>
      </w:r>
      <w:proofErr w:type="spellEnd"/>
      <w:r w:rsidRPr="00397519">
        <w:rPr>
          <w:szCs w:val="22"/>
        </w:rPr>
        <w:t>.</w:t>
      </w:r>
    </w:p>
    <w:p w:rsidR="004466F3" w:rsidRPr="00397519" w:rsidRDefault="004466F3" w:rsidP="004466F3">
      <w:pPr>
        <w:ind w:left="851"/>
        <w:rPr>
          <w:szCs w:val="22"/>
        </w:rPr>
      </w:pPr>
    </w:p>
    <w:p w:rsidR="004466F3" w:rsidRPr="00397519" w:rsidRDefault="004466F3" w:rsidP="004466F3">
      <w:pPr>
        <w:ind w:left="851"/>
        <w:rPr>
          <w:szCs w:val="22"/>
        </w:rPr>
      </w:pPr>
      <w:r w:rsidRPr="00397519">
        <w:rPr>
          <w:szCs w:val="22"/>
        </w:rPr>
        <w:t>Svin:</w:t>
      </w: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E328B" w:rsidRPr="00397519" w:rsidTr="008E328B">
        <w:tc>
          <w:tcPr>
            <w:tcW w:w="2266" w:type="pct"/>
          </w:tcPr>
          <w:p w:rsidR="008E328B" w:rsidRPr="00397519" w:rsidRDefault="008E328B" w:rsidP="00A9549F">
            <w:pPr>
              <w:spacing w:before="60" w:after="60"/>
              <w:rPr>
                <w:szCs w:val="22"/>
              </w:rPr>
            </w:pPr>
            <w:r w:rsidRPr="00397519">
              <w:rPr>
                <w:szCs w:val="22"/>
              </w:rPr>
              <w:t>Meget sjælden</w:t>
            </w:r>
          </w:p>
          <w:p w:rsidR="008E328B" w:rsidRPr="00397519" w:rsidRDefault="008E328B" w:rsidP="00A9549F">
            <w:pPr>
              <w:spacing w:before="60" w:after="60"/>
              <w:rPr>
                <w:szCs w:val="22"/>
              </w:rPr>
            </w:pPr>
            <w:r w:rsidRPr="00397519">
              <w:rPr>
                <w:szCs w:val="22"/>
              </w:rPr>
              <w:t>(&lt; 1 dyr ud af 10 000 behandlede dyr, herunder enkeltstående indberetninger):</w:t>
            </w:r>
          </w:p>
        </w:tc>
        <w:tc>
          <w:tcPr>
            <w:tcW w:w="2734" w:type="pct"/>
          </w:tcPr>
          <w:p w:rsidR="008E328B" w:rsidRPr="00397519" w:rsidRDefault="008E328B" w:rsidP="00A9549F">
            <w:pPr>
              <w:spacing w:before="60" w:after="60"/>
              <w:rPr>
                <w:iCs/>
                <w:szCs w:val="22"/>
              </w:rPr>
            </w:pPr>
            <w:r w:rsidRPr="00397519">
              <w:rPr>
                <w:iCs/>
                <w:szCs w:val="22"/>
              </w:rPr>
              <w:t>Blødning</w:t>
            </w:r>
            <w:r w:rsidRPr="00397519">
              <w:rPr>
                <w:iCs/>
                <w:szCs w:val="22"/>
                <w:vertAlign w:val="superscript"/>
              </w:rPr>
              <w:t>1</w:t>
            </w:r>
            <w:r w:rsidRPr="00397519">
              <w:rPr>
                <w:iCs/>
                <w:szCs w:val="22"/>
              </w:rPr>
              <w:t xml:space="preserve">, </w:t>
            </w:r>
            <w:proofErr w:type="spellStart"/>
            <w:r w:rsidRPr="00397519">
              <w:rPr>
                <w:iCs/>
                <w:szCs w:val="22"/>
              </w:rPr>
              <w:t>gastrointestinal</w:t>
            </w:r>
            <w:proofErr w:type="spellEnd"/>
            <w:r w:rsidRPr="00397519">
              <w:rPr>
                <w:iCs/>
                <w:szCs w:val="22"/>
              </w:rPr>
              <w:t xml:space="preserve"> irritation</w:t>
            </w:r>
            <w:r w:rsidRPr="00397519">
              <w:rPr>
                <w:iCs/>
                <w:szCs w:val="22"/>
                <w:vertAlign w:val="superscript"/>
              </w:rPr>
              <w:t>1</w:t>
            </w:r>
            <w:r w:rsidRPr="00397519">
              <w:rPr>
                <w:iCs/>
                <w:szCs w:val="22"/>
              </w:rPr>
              <w:t>, mavesår</w:t>
            </w:r>
            <w:r w:rsidRPr="00397519">
              <w:rPr>
                <w:iCs/>
                <w:szCs w:val="22"/>
                <w:vertAlign w:val="superscript"/>
              </w:rPr>
              <w:t>1</w:t>
            </w:r>
            <w:r w:rsidRPr="00397519">
              <w:rPr>
                <w:iCs/>
                <w:szCs w:val="22"/>
              </w:rPr>
              <w:t>, opkast</w:t>
            </w:r>
            <w:r w:rsidRPr="00397519">
              <w:rPr>
                <w:iCs/>
                <w:szCs w:val="22"/>
                <w:vertAlign w:val="superscript"/>
              </w:rPr>
              <w:t>1</w:t>
            </w:r>
            <w:r w:rsidRPr="00397519">
              <w:rPr>
                <w:iCs/>
                <w:szCs w:val="22"/>
              </w:rPr>
              <w:t xml:space="preserve"> </w:t>
            </w:r>
          </w:p>
          <w:p w:rsidR="008E328B" w:rsidRPr="00397519" w:rsidRDefault="008E328B" w:rsidP="00A9549F">
            <w:pPr>
              <w:spacing w:before="60" w:after="60"/>
              <w:rPr>
                <w:iCs/>
                <w:szCs w:val="22"/>
              </w:rPr>
            </w:pPr>
            <w:r w:rsidRPr="00397519">
              <w:rPr>
                <w:iCs/>
                <w:szCs w:val="22"/>
              </w:rPr>
              <w:t>Nyre</w:t>
            </w:r>
            <w:r>
              <w:rPr>
                <w:iCs/>
                <w:szCs w:val="22"/>
              </w:rPr>
              <w:t>skade</w:t>
            </w:r>
            <w:r w:rsidRPr="00397519">
              <w:rPr>
                <w:iCs/>
                <w:szCs w:val="22"/>
                <w:vertAlign w:val="superscript"/>
              </w:rPr>
              <w:t>1</w:t>
            </w:r>
            <w:r w:rsidRPr="00397519">
              <w:rPr>
                <w:iCs/>
                <w:szCs w:val="22"/>
              </w:rPr>
              <w:t xml:space="preserve"> </w:t>
            </w:r>
          </w:p>
        </w:tc>
      </w:tr>
      <w:tr w:rsidR="008E328B" w:rsidRPr="00397519" w:rsidTr="008E328B">
        <w:tc>
          <w:tcPr>
            <w:tcW w:w="2266" w:type="pct"/>
          </w:tcPr>
          <w:p w:rsidR="008E328B" w:rsidRDefault="008E328B" w:rsidP="00A9549F">
            <w:pPr>
              <w:spacing w:before="60" w:after="60"/>
              <w:rPr>
                <w:szCs w:val="22"/>
              </w:rPr>
            </w:pPr>
            <w:r>
              <w:rPr>
                <w:szCs w:val="22"/>
              </w:rPr>
              <w:t>Ikke kendt</w:t>
            </w:r>
          </w:p>
          <w:p w:rsidR="008E328B" w:rsidRPr="00397519" w:rsidRDefault="008E328B" w:rsidP="00A9549F">
            <w:pPr>
              <w:spacing w:before="60" w:after="60"/>
              <w:rPr>
                <w:szCs w:val="22"/>
              </w:rPr>
            </w:pPr>
            <w:r>
              <w:rPr>
                <w:szCs w:val="22"/>
              </w:rPr>
              <w:t>(</w:t>
            </w:r>
            <w:r>
              <w:rPr>
                <w:bCs/>
              </w:rPr>
              <w:t>hyppigheden kan ikke estimeres ud fra forhåndenværende data</w:t>
            </w:r>
            <w:r>
              <w:rPr>
                <w:szCs w:val="22"/>
              </w:rPr>
              <w:t>)</w:t>
            </w:r>
          </w:p>
        </w:tc>
        <w:tc>
          <w:tcPr>
            <w:tcW w:w="2734" w:type="pct"/>
          </w:tcPr>
          <w:p w:rsidR="008E328B" w:rsidRPr="00397519" w:rsidRDefault="008E328B" w:rsidP="00A9549F">
            <w:pPr>
              <w:spacing w:before="60" w:after="60"/>
              <w:rPr>
                <w:szCs w:val="22"/>
              </w:rPr>
            </w:pPr>
            <w:r w:rsidRPr="00397519">
              <w:rPr>
                <w:szCs w:val="22"/>
              </w:rPr>
              <w:t>Nyre- og leverlidelser</w:t>
            </w:r>
            <w:r w:rsidRPr="00397519">
              <w:rPr>
                <w:szCs w:val="22"/>
                <w:vertAlign w:val="superscript"/>
              </w:rPr>
              <w:t>2</w:t>
            </w:r>
          </w:p>
          <w:p w:rsidR="008E328B" w:rsidRPr="00397519" w:rsidRDefault="008E328B" w:rsidP="00A9549F">
            <w:pPr>
              <w:spacing w:before="60" w:after="60"/>
              <w:rPr>
                <w:szCs w:val="22"/>
              </w:rPr>
            </w:pPr>
            <w:r w:rsidRPr="00397519">
              <w:rPr>
                <w:szCs w:val="22"/>
              </w:rPr>
              <w:t>Forsinket fødsel</w:t>
            </w:r>
            <w:r w:rsidRPr="00397519">
              <w:rPr>
                <w:szCs w:val="22"/>
                <w:vertAlign w:val="superscript"/>
              </w:rPr>
              <w:t>3</w:t>
            </w:r>
            <w:r w:rsidRPr="00397519">
              <w:rPr>
                <w:szCs w:val="22"/>
              </w:rPr>
              <w:t>, øget antal dødfødte</w:t>
            </w:r>
            <w:r w:rsidRPr="00397519">
              <w:rPr>
                <w:szCs w:val="22"/>
                <w:vertAlign w:val="superscript"/>
              </w:rPr>
              <w:t>3</w:t>
            </w:r>
            <w:r w:rsidRPr="00397519">
              <w:rPr>
                <w:szCs w:val="22"/>
              </w:rPr>
              <w:t>, tilbageholdt efterbyrd</w:t>
            </w:r>
            <w:r w:rsidRPr="00397519">
              <w:rPr>
                <w:szCs w:val="22"/>
                <w:vertAlign w:val="superscript"/>
              </w:rPr>
              <w:t>4</w:t>
            </w:r>
          </w:p>
        </w:tc>
      </w:tr>
    </w:tbl>
    <w:p w:rsidR="008E328B" w:rsidRPr="00397519" w:rsidRDefault="008E328B" w:rsidP="008E328B">
      <w:pPr>
        <w:ind w:left="851"/>
        <w:rPr>
          <w:szCs w:val="22"/>
        </w:rPr>
      </w:pPr>
      <w:r w:rsidRPr="00397519">
        <w:rPr>
          <w:szCs w:val="22"/>
          <w:vertAlign w:val="superscript"/>
        </w:rPr>
        <w:t>1</w:t>
      </w:r>
      <w:r w:rsidRPr="00397519">
        <w:rPr>
          <w:szCs w:val="22"/>
        </w:rPr>
        <w:t xml:space="preserve"> Især hos dehydrerede eller </w:t>
      </w:r>
      <w:proofErr w:type="spellStart"/>
      <w:r w:rsidRPr="00397519">
        <w:rPr>
          <w:szCs w:val="22"/>
        </w:rPr>
        <w:t>hypovolæmiske</w:t>
      </w:r>
      <w:proofErr w:type="spellEnd"/>
      <w:r w:rsidRPr="00397519">
        <w:rPr>
          <w:szCs w:val="22"/>
        </w:rPr>
        <w:t xml:space="preserve"> dyr.</w:t>
      </w:r>
    </w:p>
    <w:p w:rsidR="008E328B" w:rsidRPr="00397519" w:rsidRDefault="008E328B" w:rsidP="008E328B">
      <w:pPr>
        <w:ind w:left="851"/>
        <w:rPr>
          <w:szCs w:val="22"/>
        </w:rPr>
      </w:pPr>
      <w:r w:rsidRPr="00397519">
        <w:rPr>
          <w:szCs w:val="22"/>
          <w:vertAlign w:val="superscript"/>
        </w:rPr>
        <w:t>2</w:t>
      </w:r>
      <w:r w:rsidRPr="00397519">
        <w:rPr>
          <w:szCs w:val="22"/>
        </w:rPr>
        <w:t xml:space="preserve"> </w:t>
      </w:r>
      <w:proofErr w:type="spellStart"/>
      <w:r w:rsidRPr="00397519">
        <w:rPr>
          <w:szCs w:val="22"/>
        </w:rPr>
        <w:t>Idiosyncrasi</w:t>
      </w:r>
      <w:proofErr w:type="spellEnd"/>
    </w:p>
    <w:p w:rsidR="008E328B" w:rsidRPr="00397519" w:rsidRDefault="008E328B" w:rsidP="008E328B">
      <w:pPr>
        <w:ind w:left="851"/>
        <w:rPr>
          <w:szCs w:val="22"/>
        </w:rPr>
      </w:pPr>
      <w:r w:rsidRPr="00397519">
        <w:rPr>
          <w:szCs w:val="22"/>
          <w:vertAlign w:val="superscript"/>
        </w:rPr>
        <w:t>3</w:t>
      </w:r>
      <w:r w:rsidRPr="00397519">
        <w:rPr>
          <w:szCs w:val="22"/>
        </w:rPr>
        <w:t xml:space="preserve"> Via en </w:t>
      </w:r>
      <w:proofErr w:type="spellStart"/>
      <w:r w:rsidRPr="00397519">
        <w:rPr>
          <w:szCs w:val="22"/>
        </w:rPr>
        <w:t>tokolytisk</w:t>
      </w:r>
      <w:proofErr w:type="spellEnd"/>
      <w:r w:rsidRPr="00397519">
        <w:rPr>
          <w:szCs w:val="22"/>
        </w:rPr>
        <w:t xml:space="preserve"> virkning ved at hæmme de </w:t>
      </w:r>
      <w:proofErr w:type="spellStart"/>
      <w:r w:rsidRPr="00397519">
        <w:rPr>
          <w:szCs w:val="22"/>
        </w:rPr>
        <w:t>prostaglandiner</w:t>
      </w:r>
      <w:proofErr w:type="spellEnd"/>
      <w:r w:rsidRPr="00397519">
        <w:rPr>
          <w:szCs w:val="22"/>
        </w:rPr>
        <w:t>, der er vigtige for fødslens igangsættelse.</w:t>
      </w:r>
    </w:p>
    <w:p w:rsidR="008E328B" w:rsidRPr="00397519" w:rsidRDefault="008E328B" w:rsidP="008E328B">
      <w:pPr>
        <w:ind w:left="851"/>
        <w:rPr>
          <w:szCs w:val="22"/>
        </w:rPr>
      </w:pPr>
      <w:r w:rsidRPr="00397519">
        <w:rPr>
          <w:szCs w:val="22"/>
          <w:vertAlign w:val="superscript"/>
        </w:rPr>
        <w:t>4</w:t>
      </w:r>
      <w:r w:rsidRPr="00397519">
        <w:rPr>
          <w:szCs w:val="22"/>
        </w:rPr>
        <w:t xml:space="preserve"> Ved brug af veterinærlægemidlet umiddelbart post </w:t>
      </w:r>
      <w:proofErr w:type="spellStart"/>
      <w:r w:rsidRPr="00397519">
        <w:rPr>
          <w:szCs w:val="22"/>
        </w:rPr>
        <w:t>partum</w:t>
      </w:r>
      <w:proofErr w:type="spellEnd"/>
      <w:r w:rsidRPr="00397519">
        <w:rPr>
          <w:szCs w:val="22"/>
        </w:rPr>
        <w:t>.</w:t>
      </w:r>
    </w:p>
    <w:p w:rsidR="008E328B" w:rsidRPr="00397519" w:rsidRDefault="008E328B" w:rsidP="008E328B">
      <w:pPr>
        <w:ind w:left="851"/>
        <w:rPr>
          <w:szCs w:val="22"/>
        </w:rPr>
      </w:pPr>
    </w:p>
    <w:p w:rsidR="008E328B" w:rsidRPr="00397519" w:rsidRDefault="008E328B" w:rsidP="008E328B">
      <w:pPr>
        <w:ind w:left="851"/>
        <w:rPr>
          <w:szCs w:val="22"/>
        </w:rPr>
      </w:pPr>
      <w:r w:rsidRPr="00397519">
        <w:rPr>
          <w:szCs w:val="22"/>
        </w:rPr>
        <w:t>I tilfælde af bivirkninger standses behandlingen og der søges dyrlægehjælp.</w:t>
      </w:r>
    </w:p>
    <w:p w:rsidR="008E328B" w:rsidRPr="00397519" w:rsidRDefault="008E328B" w:rsidP="008E328B">
      <w:pPr>
        <w:ind w:left="851"/>
        <w:rPr>
          <w:szCs w:val="22"/>
        </w:rPr>
      </w:pPr>
    </w:p>
    <w:p w:rsidR="008E328B" w:rsidRPr="00397519" w:rsidRDefault="008E328B" w:rsidP="008E328B">
      <w:pPr>
        <w:ind w:left="851"/>
        <w:rPr>
          <w:szCs w:val="22"/>
        </w:rPr>
      </w:pPr>
      <w:bookmarkStart w:id="0" w:name="_Hlk66891708"/>
      <w:r w:rsidRPr="00397519">
        <w:rPr>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0"/>
    <w:p w:rsidR="008E328B" w:rsidRDefault="008E328B" w:rsidP="008E328B">
      <w:pPr>
        <w:pStyle w:val="Style1"/>
      </w:pPr>
    </w:p>
    <w:p w:rsidR="008E328B" w:rsidRPr="00397519" w:rsidRDefault="008E328B" w:rsidP="008E328B">
      <w:pPr>
        <w:pStyle w:val="Style1"/>
        <w:ind w:left="851" w:hanging="851"/>
      </w:pPr>
      <w:r w:rsidRPr="00397519">
        <w:t>3.7</w:t>
      </w:r>
      <w:r w:rsidRPr="00397519">
        <w:tab/>
        <w:t>Anvendelse under drægtighed, laktation eller æglægning</w:t>
      </w:r>
    </w:p>
    <w:p w:rsidR="008E328B" w:rsidRPr="00397519" w:rsidRDefault="008E328B" w:rsidP="008E328B">
      <w:pPr>
        <w:ind w:left="851"/>
        <w:rPr>
          <w:szCs w:val="22"/>
        </w:rPr>
      </w:pPr>
      <w:r w:rsidRPr="00397519">
        <w:rPr>
          <w:szCs w:val="22"/>
          <w:u w:val="single"/>
        </w:rPr>
        <w:t>Drægtighed og laktation</w:t>
      </w:r>
      <w:r w:rsidRPr="00397519">
        <w:rPr>
          <w:szCs w:val="22"/>
        </w:rPr>
        <w:t>:</w:t>
      </w:r>
    </w:p>
    <w:p w:rsidR="008E328B" w:rsidRPr="00397519" w:rsidRDefault="008E328B" w:rsidP="008E328B">
      <w:pPr>
        <w:ind w:left="851"/>
        <w:rPr>
          <w:szCs w:val="22"/>
        </w:rPr>
      </w:pPr>
    </w:p>
    <w:p w:rsidR="008E328B" w:rsidRPr="00397519" w:rsidRDefault="008E328B" w:rsidP="008E328B">
      <w:pPr>
        <w:ind w:left="851"/>
        <w:rPr>
          <w:szCs w:val="22"/>
        </w:rPr>
      </w:pPr>
      <w:r w:rsidRPr="00397519">
        <w:rPr>
          <w:szCs w:val="22"/>
        </w:rPr>
        <w:t xml:space="preserve">Laboratorieundersøgelser har vist tegn på </w:t>
      </w:r>
      <w:proofErr w:type="spellStart"/>
      <w:r w:rsidRPr="00397519">
        <w:rPr>
          <w:szCs w:val="22"/>
        </w:rPr>
        <w:t>føtal</w:t>
      </w:r>
      <w:proofErr w:type="spellEnd"/>
      <w:r w:rsidRPr="00397519">
        <w:rPr>
          <w:szCs w:val="22"/>
        </w:rPr>
        <w:t xml:space="preserve"> toksicitet af </w:t>
      </w:r>
      <w:proofErr w:type="spellStart"/>
      <w:r w:rsidRPr="00397519">
        <w:rPr>
          <w:szCs w:val="22"/>
        </w:rPr>
        <w:t>flunixin</w:t>
      </w:r>
      <w:proofErr w:type="spellEnd"/>
      <w:r w:rsidRPr="00397519">
        <w:rPr>
          <w:szCs w:val="22"/>
        </w:rPr>
        <w:t xml:space="preserve"> efter oral administration (kanin og rotte) og intramuskulær administration (rotte) ved </w:t>
      </w:r>
      <w:proofErr w:type="spellStart"/>
      <w:r w:rsidRPr="00397519">
        <w:rPr>
          <w:szCs w:val="22"/>
        </w:rPr>
        <w:t>maternelle</w:t>
      </w:r>
      <w:proofErr w:type="spellEnd"/>
      <w:r w:rsidRPr="00397519">
        <w:rPr>
          <w:szCs w:val="22"/>
        </w:rPr>
        <w:t xml:space="preserve"> toksiske doser samt en øgning i drægtighedsperioden (rotte).</w:t>
      </w:r>
    </w:p>
    <w:p w:rsidR="008E328B" w:rsidRPr="00397519" w:rsidRDefault="008E328B" w:rsidP="008E328B">
      <w:pPr>
        <w:ind w:left="851"/>
        <w:rPr>
          <w:szCs w:val="22"/>
        </w:rPr>
      </w:pPr>
      <w:r>
        <w:rPr>
          <w:szCs w:val="22"/>
        </w:rPr>
        <w:t>Veterinærl</w:t>
      </w:r>
      <w:r w:rsidRPr="00397519">
        <w:rPr>
          <w:szCs w:val="22"/>
        </w:rPr>
        <w:t>ægemidlets sikkerhed hos drægtige hopper, avlshingste og avlstyre er ikke fastlagt. Må ikke anvendes til disse dyr.</w:t>
      </w:r>
    </w:p>
    <w:p w:rsidR="008E328B" w:rsidRPr="00397519" w:rsidRDefault="008E328B" w:rsidP="008E328B">
      <w:pPr>
        <w:ind w:left="851"/>
        <w:rPr>
          <w:szCs w:val="22"/>
        </w:rPr>
      </w:pPr>
      <w:r>
        <w:rPr>
          <w:szCs w:val="22"/>
        </w:rPr>
        <w:lastRenderedPageBreak/>
        <w:t>Veterinærl</w:t>
      </w:r>
      <w:r w:rsidRPr="00397519">
        <w:rPr>
          <w:szCs w:val="22"/>
        </w:rPr>
        <w:t xml:space="preserve">ægemidlets sikkerhed hos drægtige køer og søer samt orner er fastlagt. </w:t>
      </w:r>
      <w:r>
        <w:rPr>
          <w:szCs w:val="22"/>
        </w:rPr>
        <w:t>Veterinærl</w:t>
      </w:r>
      <w:r w:rsidRPr="00397519">
        <w:rPr>
          <w:szCs w:val="22"/>
        </w:rPr>
        <w:t>ægemidlet kan anvendes til disse dyr med undtagelse af 48 timer før fødsel (se pkt. 3.3 og 3.6).</w:t>
      </w:r>
    </w:p>
    <w:p w:rsidR="008E328B" w:rsidRPr="00397519" w:rsidRDefault="008E328B" w:rsidP="008E328B">
      <w:pPr>
        <w:ind w:left="851"/>
        <w:rPr>
          <w:szCs w:val="22"/>
        </w:rPr>
      </w:pPr>
      <w:r>
        <w:rPr>
          <w:szCs w:val="22"/>
        </w:rPr>
        <w:t>Veterinærl</w:t>
      </w:r>
      <w:r w:rsidRPr="00397519">
        <w:rPr>
          <w:szCs w:val="22"/>
        </w:rPr>
        <w:t xml:space="preserve">ægemidlet bør kun anvendes i de første 36 timer post </w:t>
      </w:r>
      <w:proofErr w:type="spellStart"/>
      <w:r w:rsidRPr="00397519">
        <w:rPr>
          <w:szCs w:val="22"/>
        </w:rPr>
        <w:t>partum</w:t>
      </w:r>
      <w:proofErr w:type="spellEnd"/>
      <w:r w:rsidRPr="00397519">
        <w:rPr>
          <w:szCs w:val="22"/>
        </w:rPr>
        <w:t xml:space="preserve"> efter den ansvarlige dyrlæges vurdering af fordele og ulemper, og behandlede dyr bør overvåges for tilbageholdt efterbyrd.</w:t>
      </w:r>
    </w:p>
    <w:p w:rsidR="008E328B" w:rsidRDefault="008E328B" w:rsidP="008E328B">
      <w:pPr>
        <w:pStyle w:val="Style1"/>
      </w:pPr>
    </w:p>
    <w:p w:rsidR="008E328B" w:rsidRPr="00397519" w:rsidRDefault="008E328B" w:rsidP="008E328B">
      <w:pPr>
        <w:pStyle w:val="Style1"/>
        <w:ind w:left="851" w:hanging="851"/>
      </w:pPr>
      <w:r w:rsidRPr="00397519">
        <w:t>3.8</w:t>
      </w:r>
      <w:r w:rsidRPr="00397519">
        <w:tab/>
        <w:t>Interaktion med andre lægemidler og andre former for interaktion</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 xml:space="preserve">Undgå samtidig anvendelse af andre NSAID eller anvendelse af disse inden for 24 timer, da de kan forøge toksiciteten, især </w:t>
      </w:r>
      <w:proofErr w:type="spellStart"/>
      <w:r w:rsidRPr="00397519">
        <w:rPr>
          <w:szCs w:val="22"/>
        </w:rPr>
        <w:t>gastrointestinalt</w:t>
      </w:r>
      <w:proofErr w:type="spellEnd"/>
      <w:r w:rsidRPr="00397519">
        <w:rPr>
          <w:szCs w:val="22"/>
        </w:rPr>
        <w:t xml:space="preserve"> - selv ved lave doser af acetylsalicylsyre. </w:t>
      </w:r>
    </w:p>
    <w:p w:rsidR="008E328B" w:rsidRPr="00397519" w:rsidRDefault="008E328B" w:rsidP="008E328B">
      <w:pPr>
        <w:ind w:left="851"/>
        <w:rPr>
          <w:szCs w:val="22"/>
        </w:rPr>
      </w:pPr>
      <w:r w:rsidRPr="00397519">
        <w:rPr>
          <w:szCs w:val="22"/>
        </w:rPr>
        <w:t xml:space="preserve">Samtidig anvendelse af </w:t>
      </w:r>
      <w:proofErr w:type="spellStart"/>
      <w:r w:rsidRPr="00397519">
        <w:rPr>
          <w:szCs w:val="22"/>
        </w:rPr>
        <w:t>kortikoider</w:t>
      </w:r>
      <w:proofErr w:type="spellEnd"/>
      <w:r w:rsidRPr="00397519">
        <w:rPr>
          <w:szCs w:val="22"/>
        </w:rPr>
        <w:t xml:space="preserve"> kan forøge toksiciteten af begge lægemidler og forøge risikoen for mavesår, hvorfor dette bør undgås. </w:t>
      </w: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kan nedsætte effekten af nogle </w:t>
      </w:r>
      <w:proofErr w:type="spellStart"/>
      <w:r w:rsidRPr="00397519">
        <w:rPr>
          <w:szCs w:val="22"/>
        </w:rPr>
        <w:t>anti-hypertensive</w:t>
      </w:r>
      <w:proofErr w:type="spellEnd"/>
      <w:r w:rsidRPr="00397519">
        <w:rPr>
          <w:szCs w:val="22"/>
        </w:rPr>
        <w:t xml:space="preserve"> lægemidler ved hæmning af </w:t>
      </w:r>
      <w:proofErr w:type="spellStart"/>
      <w:r w:rsidRPr="00397519">
        <w:rPr>
          <w:szCs w:val="22"/>
        </w:rPr>
        <w:t>prostaglandinsyntesen</w:t>
      </w:r>
      <w:proofErr w:type="spellEnd"/>
      <w:r w:rsidRPr="00397519">
        <w:rPr>
          <w:szCs w:val="22"/>
        </w:rPr>
        <w:t xml:space="preserve">, eks. </w:t>
      </w:r>
      <w:proofErr w:type="spellStart"/>
      <w:r w:rsidRPr="00397519">
        <w:rPr>
          <w:szCs w:val="22"/>
        </w:rPr>
        <w:t>diuretika</w:t>
      </w:r>
      <w:proofErr w:type="spellEnd"/>
      <w:r w:rsidRPr="00397519">
        <w:rPr>
          <w:szCs w:val="22"/>
        </w:rPr>
        <w:t>, ACE-</w:t>
      </w:r>
      <w:proofErr w:type="spellStart"/>
      <w:r w:rsidRPr="00397519">
        <w:rPr>
          <w:szCs w:val="22"/>
        </w:rPr>
        <w:t>hæmmere</w:t>
      </w:r>
      <w:proofErr w:type="spellEnd"/>
      <w:r w:rsidRPr="00397519">
        <w:rPr>
          <w:szCs w:val="22"/>
        </w:rPr>
        <w:t xml:space="preserve"> og betablokkere.</w:t>
      </w:r>
    </w:p>
    <w:p w:rsidR="008E328B" w:rsidRPr="00397519" w:rsidRDefault="008E328B" w:rsidP="008E328B">
      <w:pPr>
        <w:ind w:left="851"/>
        <w:rPr>
          <w:szCs w:val="22"/>
        </w:rPr>
      </w:pPr>
      <w:r w:rsidRPr="00397519">
        <w:rPr>
          <w:szCs w:val="22"/>
        </w:rPr>
        <w:t>Samtidig behandling med potentielt nyretoksiske midler, især aminoglykosider, bør undgås.</w:t>
      </w: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kan nedsætte </w:t>
      </w:r>
      <w:proofErr w:type="spellStart"/>
      <w:r w:rsidRPr="00397519">
        <w:rPr>
          <w:szCs w:val="22"/>
        </w:rPr>
        <w:t>renal</w:t>
      </w:r>
      <w:proofErr w:type="spellEnd"/>
      <w:r w:rsidRPr="00397519">
        <w:rPr>
          <w:szCs w:val="22"/>
        </w:rPr>
        <w:t xml:space="preserve"> udskillelse af nogle lægemidler og forøge toksiciteten, eks. aminoglykosider.</w:t>
      </w:r>
    </w:p>
    <w:p w:rsidR="004466F3" w:rsidRDefault="004466F3" w:rsidP="00111AC4">
      <w:pPr>
        <w:ind w:left="851" w:hanging="851"/>
        <w:jc w:val="both"/>
        <w:rPr>
          <w:sz w:val="24"/>
          <w:szCs w:val="24"/>
        </w:rPr>
      </w:pPr>
    </w:p>
    <w:p w:rsidR="008E328B" w:rsidRPr="00397519" w:rsidRDefault="008E328B" w:rsidP="008E328B">
      <w:pPr>
        <w:pStyle w:val="Style1"/>
        <w:ind w:left="851" w:hanging="851"/>
      </w:pPr>
      <w:r w:rsidRPr="00397519">
        <w:t>3.9</w:t>
      </w:r>
      <w:r w:rsidRPr="00397519">
        <w:tab/>
        <w:t>Administrationsveje og dosering</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 xml:space="preserve">Kvæg: intramuskulær </w:t>
      </w:r>
      <w:r>
        <w:rPr>
          <w:szCs w:val="22"/>
        </w:rPr>
        <w:t xml:space="preserve">og intravenøs </w:t>
      </w:r>
      <w:r w:rsidRPr="00397519">
        <w:rPr>
          <w:szCs w:val="22"/>
        </w:rPr>
        <w:t>administration.</w:t>
      </w:r>
    </w:p>
    <w:p w:rsidR="008E328B" w:rsidRDefault="008E328B" w:rsidP="008E328B">
      <w:pPr>
        <w:ind w:left="851"/>
        <w:rPr>
          <w:szCs w:val="22"/>
        </w:rPr>
      </w:pPr>
      <w:r>
        <w:rPr>
          <w:szCs w:val="22"/>
        </w:rPr>
        <w:t>Svin: intramuskulær administration</w:t>
      </w:r>
    </w:p>
    <w:p w:rsidR="008E328B" w:rsidRPr="00397519" w:rsidRDefault="008E328B" w:rsidP="008E328B">
      <w:pPr>
        <w:ind w:left="851"/>
        <w:rPr>
          <w:szCs w:val="22"/>
        </w:rPr>
      </w:pPr>
      <w:r>
        <w:rPr>
          <w:szCs w:val="22"/>
        </w:rPr>
        <w:t>H</w:t>
      </w:r>
      <w:r w:rsidRPr="00397519">
        <w:rPr>
          <w:szCs w:val="22"/>
        </w:rPr>
        <w:t>est: intravenøs administration.</w:t>
      </w:r>
    </w:p>
    <w:p w:rsidR="008E328B" w:rsidRPr="00F260F0" w:rsidRDefault="008E328B" w:rsidP="008E328B">
      <w:pPr>
        <w:ind w:left="851"/>
        <w:rPr>
          <w:noProof/>
          <w:szCs w:val="22"/>
        </w:rPr>
      </w:pPr>
      <w:r w:rsidRPr="00F260F0">
        <w:t>For at sikre korrekt dosering bør legemsvægten beregnes så nøjagtigt som muligt.</w:t>
      </w:r>
    </w:p>
    <w:p w:rsidR="008E328B" w:rsidRPr="00397519" w:rsidRDefault="008E328B" w:rsidP="008E328B">
      <w:pPr>
        <w:ind w:left="851"/>
        <w:rPr>
          <w:szCs w:val="22"/>
        </w:rPr>
      </w:pPr>
    </w:p>
    <w:p w:rsidR="008E328B" w:rsidRPr="00397519" w:rsidRDefault="008E328B" w:rsidP="008E328B">
      <w:pPr>
        <w:ind w:left="851"/>
        <w:rPr>
          <w:b/>
          <w:szCs w:val="22"/>
        </w:rPr>
      </w:pPr>
      <w:r w:rsidRPr="00397519">
        <w:rPr>
          <w:b/>
          <w:szCs w:val="22"/>
        </w:rPr>
        <w:t xml:space="preserve">Kvæg: </w:t>
      </w:r>
    </w:p>
    <w:p w:rsidR="008E328B" w:rsidRPr="00397519" w:rsidRDefault="008E328B" w:rsidP="008E328B">
      <w:pPr>
        <w:pStyle w:val="Listeafsnit"/>
        <w:numPr>
          <w:ilvl w:val="0"/>
          <w:numId w:val="11"/>
        </w:numPr>
        <w:ind w:left="1134" w:hanging="283"/>
        <w:rPr>
          <w:sz w:val="22"/>
          <w:szCs w:val="22"/>
        </w:rPr>
      </w:pPr>
      <w:r w:rsidRPr="00397519">
        <w:rPr>
          <w:sz w:val="22"/>
          <w:szCs w:val="22"/>
        </w:rPr>
        <w:t xml:space="preserve">2 mg </w:t>
      </w:r>
      <w:proofErr w:type="spellStart"/>
      <w:r w:rsidRPr="00397519">
        <w:rPr>
          <w:sz w:val="22"/>
          <w:szCs w:val="22"/>
        </w:rPr>
        <w:t>flunixin</w:t>
      </w:r>
      <w:proofErr w:type="spellEnd"/>
      <w:r w:rsidRPr="00397519">
        <w:rPr>
          <w:sz w:val="22"/>
          <w:szCs w:val="22"/>
        </w:rPr>
        <w:t>/kg kropsvægt, svarende til 2 ml/50 kg kropsvægt ved intravenøs eller intramuskulær injektion en gang dagligt i 1-3 på hinanden følgende dage.</w:t>
      </w:r>
    </w:p>
    <w:p w:rsidR="008E328B" w:rsidRPr="00397519" w:rsidRDefault="008E328B" w:rsidP="008E328B">
      <w:pPr>
        <w:ind w:left="1134" w:hanging="283"/>
        <w:rPr>
          <w:szCs w:val="22"/>
        </w:rPr>
      </w:pPr>
      <w:r w:rsidRPr="00397519">
        <w:rPr>
          <w:szCs w:val="22"/>
        </w:rPr>
        <w:tab/>
      </w:r>
    </w:p>
    <w:p w:rsidR="008E328B" w:rsidRPr="00397519" w:rsidRDefault="008E328B" w:rsidP="008E328B">
      <w:pPr>
        <w:pStyle w:val="Listeafsnit"/>
        <w:numPr>
          <w:ilvl w:val="0"/>
          <w:numId w:val="11"/>
        </w:numPr>
        <w:ind w:left="1134" w:hanging="283"/>
        <w:rPr>
          <w:sz w:val="22"/>
          <w:szCs w:val="22"/>
        </w:rPr>
      </w:pPr>
      <w:r w:rsidRPr="00397519">
        <w:rPr>
          <w:sz w:val="22"/>
          <w:szCs w:val="22"/>
        </w:rPr>
        <w:t>Et injektionsvolumen større end 20 ml skal deles og gives på mindst 2 forskellige injektionssteder.</w:t>
      </w:r>
    </w:p>
    <w:p w:rsidR="008E328B" w:rsidRPr="00397519" w:rsidRDefault="008E328B" w:rsidP="008E328B">
      <w:pPr>
        <w:rPr>
          <w:szCs w:val="22"/>
        </w:rPr>
      </w:pPr>
    </w:p>
    <w:p w:rsidR="008E328B" w:rsidRPr="00397519" w:rsidRDefault="008E328B" w:rsidP="008E328B">
      <w:pPr>
        <w:ind w:left="851"/>
        <w:rPr>
          <w:b/>
          <w:szCs w:val="22"/>
        </w:rPr>
      </w:pPr>
      <w:r w:rsidRPr="00397519">
        <w:rPr>
          <w:b/>
          <w:szCs w:val="22"/>
        </w:rPr>
        <w:t>Svin:</w:t>
      </w:r>
    </w:p>
    <w:p w:rsidR="008E328B" w:rsidRPr="00397519" w:rsidRDefault="008E328B" w:rsidP="008E328B">
      <w:pPr>
        <w:numPr>
          <w:ilvl w:val="0"/>
          <w:numId w:val="8"/>
        </w:numPr>
        <w:ind w:left="1134" w:hanging="284"/>
        <w:rPr>
          <w:szCs w:val="22"/>
        </w:rPr>
      </w:pPr>
      <w:r w:rsidRPr="00397519">
        <w:rPr>
          <w:szCs w:val="22"/>
        </w:rPr>
        <w:t>Understøttende behandling i forbindelse med antibiotikabehandling af MMA- (</w:t>
      </w:r>
      <w:proofErr w:type="spellStart"/>
      <w:r w:rsidRPr="00397519">
        <w:rPr>
          <w:szCs w:val="22"/>
        </w:rPr>
        <w:t>Mastitis</w:t>
      </w:r>
      <w:proofErr w:type="spellEnd"/>
      <w:r w:rsidRPr="00397519">
        <w:rPr>
          <w:szCs w:val="22"/>
        </w:rPr>
        <w:t xml:space="preserve">- </w:t>
      </w:r>
      <w:proofErr w:type="spellStart"/>
      <w:r w:rsidRPr="00397519">
        <w:rPr>
          <w:szCs w:val="22"/>
        </w:rPr>
        <w:t>Metritis-Agalakti</w:t>
      </w:r>
      <w:proofErr w:type="spellEnd"/>
      <w:r w:rsidRPr="00397519">
        <w:rPr>
          <w:szCs w:val="22"/>
        </w:rPr>
        <w:t>) syndrom.</w:t>
      </w:r>
    </w:p>
    <w:p w:rsidR="008E328B" w:rsidRPr="00397519" w:rsidRDefault="008E328B" w:rsidP="008E328B">
      <w:pPr>
        <w:pStyle w:val="Listeafsnit"/>
        <w:ind w:left="1134"/>
        <w:rPr>
          <w:sz w:val="22"/>
          <w:szCs w:val="22"/>
        </w:rPr>
      </w:pPr>
      <w:r w:rsidRPr="00397519">
        <w:rPr>
          <w:sz w:val="22"/>
          <w:szCs w:val="22"/>
        </w:rPr>
        <w:t xml:space="preserve">2 mg </w:t>
      </w:r>
      <w:proofErr w:type="spellStart"/>
      <w:r w:rsidRPr="00397519">
        <w:rPr>
          <w:sz w:val="22"/>
          <w:szCs w:val="22"/>
        </w:rPr>
        <w:t>flunixin</w:t>
      </w:r>
      <w:proofErr w:type="spellEnd"/>
      <w:r w:rsidRPr="00397519">
        <w:rPr>
          <w:sz w:val="22"/>
          <w:szCs w:val="22"/>
        </w:rPr>
        <w:t>/kg kropsvægt, svarende til 2 ml/50 kg kropsvægt en gang dagligt i 1-3 på hinanden følgende dage.</w:t>
      </w:r>
    </w:p>
    <w:p w:rsidR="008E328B" w:rsidRPr="00397519" w:rsidRDefault="008E328B" w:rsidP="008E328B">
      <w:pPr>
        <w:ind w:left="1134"/>
        <w:rPr>
          <w:szCs w:val="22"/>
        </w:rPr>
      </w:pPr>
    </w:p>
    <w:p w:rsidR="008E328B" w:rsidRPr="00397519" w:rsidRDefault="008E328B" w:rsidP="008E328B">
      <w:pPr>
        <w:numPr>
          <w:ilvl w:val="0"/>
          <w:numId w:val="8"/>
        </w:numPr>
        <w:ind w:left="1134" w:hanging="284"/>
        <w:rPr>
          <w:szCs w:val="22"/>
        </w:rPr>
      </w:pPr>
      <w:r w:rsidRPr="00397519">
        <w:rPr>
          <w:szCs w:val="22"/>
        </w:rPr>
        <w:t xml:space="preserve">Febernedsættende behandling i forbindelse med respirationsvejslidelser. </w:t>
      </w:r>
    </w:p>
    <w:p w:rsidR="008E328B" w:rsidRPr="00397519" w:rsidRDefault="008E328B" w:rsidP="008E328B">
      <w:pPr>
        <w:pStyle w:val="Listeafsnit"/>
        <w:ind w:left="1134"/>
        <w:rPr>
          <w:sz w:val="22"/>
          <w:szCs w:val="22"/>
        </w:rPr>
      </w:pPr>
      <w:r w:rsidRPr="00397519">
        <w:rPr>
          <w:sz w:val="22"/>
          <w:szCs w:val="22"/>
        </w:rPr>
        <w:t xml:space="preserve">2 mg </w:t>
      </w:r>
      <w:proofErr w:type="spellStart"/>
      <w:r w:rsidRPr="00397519">
        <w:rPr>
          <w:sz w:val="22"/>
          <w:szCs w:val="22"/>
        </w:rPr>
        <w:t>flunixin</w:t>
      </w:r>
      <w:proofErr w:type="spellEnd"/>
      <w:r w:rsidRPr="00397519">
        <w:rPr>
          <w:sz w:val="22"/>
          <w:szCs w:val="22"/>
        </w:rPr>
        <w:t xml:space="preserve">/kg kropsvægt, svarende til 2 ml/50 kg kropsvægt én gang. </w:t>
      </w:r>
    </w:p>
    <w:p w:rsidR="008E328B" w:rsidRPr="00397519" w:rsidRDefault="008E328B" w:rsidP="008E328B">
      <w:pPr>
        <w:ind w:left="1134" w:hanging="284"/>
        <w:rPr>
          <w:szCs w:val="22"/>
        </w:rPr>
      </w:pPr>
    </w:p>
    <w:p w:rsidR="008E328B" w:rsidRPr="008E328B" w:rsidRDefault="008E328B" w:rsidP="008E328B">
      <w:pPr>
        <w:ind w:left="851"/>
        <w:rPr>
          <w:sz w:val="22"/>
          <w:szCs w:val="22"/>
        </w:rPr>
      </w:pPr>
      <w:r w:rsidRPr="008E328B">
        <w:rPr>
          <w:sz w:val="22"/>
          <w:szCs w:val="22"/>
        </w:rPr>
        <w:t>Det maksimale injektionsvolumen pr. injektionssted er 5 ml. Et injektionsvolumen større end 5 ml skal deles og gives på forskellige injektionssteder.</w:t>
      </w:r>
    </w:p>
    <w:p w:rsidR="008E328B" w:rsidRPr="00397519" w:rsidRDefault="008E328B" w:rsidP="008E328B">
      <w:pPr>
        <w:rPr>
          <w:szCs w:val="22"/>
        </w:rPr>
      </w:pPr>
    </w:p>
    <w:p w:rsidR="008E328B" w:rsidRPr="00397519" w:rsidRDefault="008E328B" w:rsidP="008E328B">
      <w:pPr>
        <w:ind w:left="851"/>
        <w:rPr>
          <w:b/>
          <w:szCs w:val="22"/>
        </w:rPr>
      </w:pPr>
      <w:r w:rsidRPr="00397519">
        <w:rPr>
          <w:b/>
          <w:szCs w:val="22"/>
        </w:rPr>
        <w:t>Hest:</w:t>
      </w:r>
    </w:p>
    <w:p w:rsidR="008E328B" w:rsidRPr="00397519" w:rsidRDefault="008E328B" w:rsidP="008E328B">
      <w:pPr>
        <w:numPr>
          <w:ilvl w:val="0"/>
          <w:numId w:val="9"/>
        </w:numPr>
        <w:ind w:left="1134" w:hanging="283"/>
        <w:rPr>
          <w:szCs w:val="22"/>
        </w:rPr>
      </w:pPr>
      <w:r w:rsidRPr="00397519">
        <w:rPr>
          <w:szCs w:val="22"/>
        </w:rPr>
        <w:t>Lindring af betændelse og smerte i forbindelse med lidelser i bevægeapparatet.</w:t>
      </w:r>
    </w:p>
    <w:p w:rsidR="008E328B" w:rsidRPr="00397519" w:rsidRDefault="008E328B" w:rsidP="008E328B">
      <w:pPr>
        <w:pStyle w:val="Listeafsnit"/>
        <w:ind w:left="1134"/>
        <w:rPr>
          <w:sz w:val="22"/>
          <w:szCs w:val="22"/>
        </w:rPr>
      </w:pPr>
      <w:r w:rsidRPr="00397519">
        <w:rPr>
          <w:sz w:val="22"/>
          <w:szCs w:val="22"/>
        </w:rPr>
        <w:t xml:space="preserve">1 mg </w:t>
      </w:r>
      <w:proofErr w:type="spellStart"/>
      <w:r w:rsidRPr="00397519">
        <w:rPr>
          <w:sz w:val="22"/>
          <w:szCs w:val="22"/>
        </w:rPr>
        <w:t>flunixin</w:t>
      </w:r>
      <w:proofErr w:type="spellEnd"/>
      <w:r w:rsidRPr="00397519">
        <w:rPr>
          <w:sz w:val="22"/>
          <w:szCs w:val="22"/>
        </w:rPr>
        <w:t>/kg kropsvægt, svarende til 1 ml/50 kg kropsvægt en gang dagligt i 1-5 på hinanden følgende dage.</w:t>
      </w:r>
    </w:p>
    <w:p w:rsidR="008E328B" w:rsidRPr="00397519" w:rsidRDefault="008E328B" w:rsidP="008E328B">
      <w:pPr>
        <w:ind w:left="1134" w:hanging="283"/>
        <w:rPr>
          <w:szCs w:val="22"/>
        </w:rPr>
      </w:pPr>
    </w:p>
    <w:p w:rsidR="008E328B" w:rsidRPr="00397519" w:rsidRDefault="008E328B" w:rsidP="008E328B">
      <w:pPr>
        <w:numPr>
          <w:ilvl w:val="0"/>
          <w:numId w:val="9"/>
        </w:numPr>
        <w:ind w:left="1134" w:hanging="283"/>
        <w:rPr>
          <w:szCs w:val="22"/>
        </w:rPr>
      </w:pPr>
      <w:r w:rsidRPr="00397519">
        <w:rPr>
          <w:szCs w:val="22"/>
        </w:rPr>
        <w:t xml:space="preserve">Lindring af </w:t>
      </w:r>
      <w:proofErr w:type="spellStart"/>
      <w:r w:rsidRPr="00397519">
        <w:rPr>
          <w:szCs w:val="22"/>
        </w:rPr>
        <w:t>visceral</w:t>
      </w:r>
      <w:proofErr w:type="spellEnd"/>
      <w:r w:rsidRPr="00397519">
        <w:rPr>
          <w:szCs w:val="22"/>
        </w:rPr>
        <w:t xml:space="preserve"> smerte i forbindelse med kolik.</w:t>
      </w:r>
    </w:p>
    <w:p w:rsidR="008E328B" w:rsidRPr="00397519" w:rsidRDefault="008E328B" w:rsidP="008E328B">
      <w:pPr>
        <w:pStyle w:val="Listeafsnit"/>
        <w:ind w:left="1134"/>
        <w:rPr>
          <w:sz w:val="22"/>
          <w:szCs w:val="22"/>
        </w:rPr>
      </w:pPr>
      <w:r w:rsidRPr="00397519">
        <w:rPr>
          <w:sz w:val="22"/>
          <w:szCs w:val="22"/>
        </w:rPr>
        <w:t xml:space="preserve">1 mg </w:t>
      </w:r>
      <w:proofErr w:type="spellStart"/>
      <w:r w:rsidRPr="00397519">
        <w:rPr>
          <w:sz w:val="22"/>
          <w:szCs w:val="22"/>
        </w:rPr>
        <w:t>flunixin</w:t>
      </w:r>
      <w:proofErr w:type="spellEnd"/>
      <w:r w:rsidRPr="00397519">
        <w:rPr>
          <w:sz w:val="22"/>
          <w:szCs w:val="22"/>
        </w:rPr>
        <w:t>/kg kropsvægt, svarende til 1 ml/50 kg kropsvægt en gang dagligt. Behandlingen kan gentages 1 eller 2 gange ved tilbagefald.</w:t>
      </w:r>
    </w:p>
    <w:p w:rsidR="008E328B" w:rsidRPr="00397519" w:rsidRDefault="008E328B" w:rsidP="008E328B">
      <w:pPr>
        <w:pStyle w:val="Listeafsnit"/>
        <w:ind w:left="0"/>
        <w:rPr>
          <w:sz w:val="22"/>
          <w:szCs w:val="22"/>
        </w:rPr>
      </w:pPr>
      <w:r w:rsidRPr="00397519">
        <w:rPr>
          <w:sz w:val="22"/>
          <w:szCs w:val="22"/>
        </w:rPr>
        <w:lastRenderedPageBreak/>
        <w:t xml:space="preserve"> </w:t>
      </w:r>
    </w:p>
    <w:p w:rsidR="008E328B" w:rsidRPr="00397519" w:rsidRDefault="008E328B" w:rsidP="008E328B">
      <w:pPr>
        <w:ind w:left="851"/>
        <w:rPr>
          <w:szCs w:val="22"/>
        </w:rPr>
      </w:pPr>
      <w:r w:rsidRPr="00397519">
        <w:rPr>
          <w:szCs w:val="22"/>
        </w:rPr>
        <w:t>Gummiproppen kan penetreres op til 10 gange. Ved behandling af store antal dyr, anbefales brug af automatsprøjte.</w:t>
      </w:r>
    </w:p>
    <w:p w:rsidR="008E328B" w:rsidRDefault="008E328B" w:rsidP="008E328B">
      <w:pPr>
        <w:pStyle w:val="Style1"/>
      </w:pPr>
    </w:p>
    <w:p w:rsidR="008E328B" w:rsidRPr="00397519" w:rsidRDefault="008E328B" w:rsidP="008E328B">
      <w:pPr>
        <w:pStyle w:val="Style1"/>
        <w:ind w:left="851" w:hanging="851"/>
      </w:pPr>
      <w:r w:rsidRPr="00397519">
        <w:t>3.10</w:t>
      </w:r>
      <w:r w:rsidRPr="00397519">
        <w:tab/>
        <w:t>Symptomer på overdosering (og, hvis relevant, nødforanstaltninger og modgift)</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 xml:space="preserve">Overdosering er forbundet med </w:t>
      </w:r>
      <w:proofErr w:type="spellStart"/>
      <w:r w:rsidRPr="00397519">
        <w:rPr>
          <w:szCs w:val="22"/>
        </w:rPr>
        <w:t>gastrointestinal</w:t>
      </w:r>
      <w:proofErr w:type="spellEnd"/>
      <w:r w:rsidRPr="00397519">
        <w:rPr>
          <w:szCs w:val="22"/>
        </w:rPr>
        <w:t xml:space="preserve"> toksicitet. Symptomer på </w:t>
      </w:r>
      <w:proofErr w:type="spellStart"/>
      <w:r w:rsidRPr="00397519">
        <w:rPr>
          <w:szCs w:val="22"/>
        </w:rPr>
        <w:t>ataxi</w:t>
      </w:r>
      <w:proofErr w:type="spellEnd"/>
      <w:r w:rsidRPr="00397519">
        <w:rPr>
          <w:szCs w:val="22"/>
        </w:rPr>
        <w:t xml:space="preserve"> og </w:t>
      </w:r>
      <w:proofErr w:type="spellStart"/>
      <w:r w:rsidRPr="00397519">
        <w:rPr>
          <w:szCs w:val="22"/>
        </w:rPr>
        <w:t>inkoordination</w:t>
      </w:r>
      <w:proofErr w:type="spellEnd"/>
      <w:r w:rsidRPr="00397519">
        <w:rPr>
          <w:szCs w:val="22"/>
        </w:rPr>
        <w:t xml:space="preserve"> kan også forekomme.</w:t>
      </w:r>
    </w:p>
    <w:p w:rsidR="008E328B" w:rsidRPr="00397519" w:rsidRDefault="008E328B" w:rsidP="008E328B">
      <w:pPr>
        <w:ind w:left="851"/>
        <w:rPr>
          <w:szCs w:val="22"/>
        </w:rPr>
      </w:pPr>
      <w:r w:rsidRPr="00397519">
        <w:rPr>
          <w:szCs w:val="22"/>
        </w:rPr>
        <w:tab/>
      </w:r>
    </w:p>
    <w:p w:rsidR="008E328B" w:rsidRPr="00397519" w:rsidRDefault="008E328B" w:rsidP="008E328B">
      <w:pPr>
        <w:ind w:left="851"/>
        <w:rPr>
          <w:szCs w:val="22"/>
        </w:rPr>
      </w:pPr>
      <w:r w:rsidRPr="00397519">
        <w:rPr>
          <w:szCs w:val="22"/>
        </w:rPr>
        <w:t>Hest: en forbigående stigning i blodtrykket kan iagttages ved 3 gange den anbefalede dosis (3 mg/kg legemsvægt) administreret intravenøst.</w:t>
      </w:r>
    </w:p>
    <w:p w:rsidR="008E328B" w:rsidRPr="00397519" w:rsidRDefault="008E328B" w:rsidP="008E328B">
      <w:pPr>
        <w:ind w:left="851"/>
        <w:rPr>
          <w:szCs w:val="22"/>
        </w:rPr>
      </w:pPr>
      <w:r w:rsidRPr="00397519">
        <w:rPr>
          <w:szCs w:val="22"/>
        </w:rPr>
        <w:tab/>
      </w:r>
    </w:p>
    <w:p w:rsidR="008E328B" w:rsidRPr="00397519" w:rsidRDefault="008E328B" w:rsidP="008E328B">
      <w:pPr>
        <w:ind w:left="851"/>
        <w:rPr>
          <w:szCs w:val="22"/>
        </w:rPr>
      </w:pPr>
      <w:r w:rsidRPr="00397519">
        <w:rPr>
          <w:szCs w:val="22"/>
        </w:rPr>
        <w:t>Kvæg: der blev ikke iagttaget nogen bivirkninger ved 3 gange den anbefalede dosis (6 mg/kg kropsvægt) administreret intravenøst.</w:t>
      </w:r>
    </w:p>
    <w:p w:rsidR="008E328B" w:rsidRPr="00397519" w:rsidRDefault="008E328B" w:rsidP="008E328B">
      <w:pPr>
        <w:ind w:left="851"/>
        <w:rPr>
          <w:szCs w:val="22"/>
        </w:rPr>
      </w:pPr>
      <w:r w:rsidRPr="00397519">
        <w:rPr>
          <w:szCs w:val="22"/>
        </w:rPr>
        <w:tab/>
      </w:r>
    </w:p>
    <w:p w:rsidR="008E328B" w:rsidRPr="00397519" w:rsidRDefault="008E328B" w:rsidP="008E328B">
      <w:pPr>
        <w:ind w:left="851"/>
        <w:rPr>
          <w:szCs w:val="22"/>
        </w:rPr>
      </w:pPr>
      <w:r w:rsidRPr="00397519">
        <w:rPr>
          <w:szCs w:val="22"/>
        </w:rPr>
        <w:t xml:space="preserve">Svin: smerte på injektionsstedet og stigning i antallet af leukocytter blev iagttaget fra 2 mg </w:t>
      </w:r>
      <w:proofErr w:type="spellStart"/>
      <w:r w:rsidRPr="00397519">
        <w:rPr>
          <w:szCs w:val="22"/>
        </w:rPr>
        <w:t>flunixin</w:t>
      </w:r>
      <w:proofErr w:type="spellEnd"/>
      <w:r w:rsidRPr="00397519">
        <w:rPr>
          <w:szCs w:val="22"/>
        </w:rPr>
        <w:t>/kg administreret 2 gange dagligt.</w:t>
      </w:r>
    </w:p>
    <w:p w:rsidR="008E328B" w:rsidRDefault="008E328B" w:rsidP="00111AC4">
      <w:pPr>
        <w:ind w:left="851" w:hanging="851"/>
        <w:jc w:val="both"/>
        <w:rPr>
          <w:sz w:val="24"/>
          <w:szCs w:val="24"/>
        </w:rPr>
      </w:pPr>
    </w:p>
    <w:p w:rsidR="008E328B" w:rsidRPr="00397519" w:rsidRDefault="008E328B" w:rsidP="008E328B">
      <w:pPr>
        <w:pStyle w:val="Style1"/>
        <w:ind w:left="851" w:hanging="851"/>
      </w:pPr>
      <w:r w:rsidRPr="00397519">
        <w:t>3.11</w:t>
      </w:r>
      <w:r w:rsidRPr="00397519">
        <w:tab/>
        <w:t>Særlige begrænsninger og betingelser for anvendelse, herunder begrænsninger for anvendelsen af antimikrobielle og antiparasitære veterinærlægemidler for at begrænse risikoen for udvikling af resistens</w:t>
      </w:r>
    </w:p>
    <w:p w:rsidR="008E328B" w:rsidRPr="00397519" w:rsidRDefault="008E328B" w:rsidP="008E328B">
      <w:pPr>
        <w:rPr>
          <w:szCs w:val="22"/>
        </w:rPr>
      </w:pPr>
    </w:p>
    <w:p w:rsidR="008E328B" w:rsidRDefault="008E328B" w:rsidP="008E328B">
      <w:pPr>
        <w:ind w:left="851"/>
        <w:rPr>
          <w:szCs w:val="22"/>
        </w:rPr>
      </w:pPr>
      <w:r w:rsidRPr="00397519">
        <w:rPr>
          <w:szCs w:val="22"/>
        </w:rPr>
        <w:t>Ikke relevant.</w:t>
      </w:r>
    </w:p>
    <w:p w:rsidR="008E328B" w:rsidRDefault="008E328B" w:rsidP="008E328B">
      <w:pPr>
        <w:ind w:left="851"/>
        <w:rPr>
          <w:szCs w:val="22"/>
        </w:rPr>
      </w:pPr>
    </w:p>
    <w:p w:rsidR="008E328B" w:rsidRPr="00397519" w:rsidRDefault="008E328B" w:rsidP="008E328B">
      <w:pPr>
        <w:pStyle w:val="Style1"/>
        <w:ind w:left="851" w:hanging="851"/>
      </w:pPr>
      <w:r w:rsidRPr="00397519">
        <w:t>3.12</w:t>
      </w:r>
      <w:r w:rsidRPr="00397519">
        <w:tab/>
        <w:t>Tilbageholdelsestid(er)</w:t>
      </w:r>
    </w:p>
    <w:p w:rsidR="008E328B" w:rsidRPr="00397519" w:rsidRDefault="008E328B" w:rsidP="008E328B">
      <w:pPr>
        <w:rPr>
          <w:szCs w:val="22"/>
        </w:rPr>
      </w:pPr>
    </w:p>
    <w:p w:rsidR="008E328B" w:rsidRPr="00397519" w:rsidRDefault="008E328B" w:rsidP="008E328B">
      <w:pPr>
        <w:ind w:left="851"/>
        <w:rPr>
          <w:b/>
          <w:szCs w:val="22"/>
        </w:rPr>
      </w:pPr>
      <w:r w:rsidRPr="00397519">
        <w:rPr>
          <w:b/>
          <w:szCs w:val="22"/>
        </w:rPr>
        <w:t>Kvæg:</w:t>
      </w:r>
    </w:p>
    <w:p w:rsidR="008E328B" w:rsidRPr="00397519" w:rsidRDefault="008E328B" w:rsidP="008E328B">
      <w:pPr>
        <w:ind w:left="851"/>
        <w:rPr>
          <w:szCs w:val="22"/>
        </w:rPr>
      </w:pPr>
      <w:r w:rsidRPr="00397519">
        <w:rPr>
          <w:szCs w:val="22"/>
        </w:rPr>
        <w:t>Slagtning: 10 dage(</w:t>
      </w:r>
      <w:proofErr w:type="spellStart"/>
      <w:r w:rsidRPr="00397519">
        <w:rPr>
          <w:szCs w:val="22"/>
        </w:rPr>
        <w:t>i.v</w:t>
      </w:r>
      <w:proofErr w:type="spellEnd"/>
      <w:r w:rsidRPr="00397519">
        <w:rPr>
          <w:szCs w:val="22"/>
        </w:rPr>
        <w:t>.) / 31 dage (</w:t>
      </w:r>
      <w:proofErr w:type="spellStart"/>
      <w:r w:rsidRPr="00397519">
        <w:rPr>
          <w:szCs w:val="22"/>
        </w:rPr>
        <w:t>i.m</w:t>
      </w:r>
      <w:proofErr w:type="spellEnd"/>
      <w:r w:rsidRPr="00397519">
        <w:rPr>
          <w:szCs w:val="22"/>
        </w:rPr>
        <w:t>.).</w:t>
      </w:r>
    </w:p>
    <w:p w:rsidR="008E328B" w:rsidRPr="00397519" w:rsidRDefault="008E328B" w:rsidP="008E328B">
      <w:pPr>
        <w:ind w:left="851"/>
        <w:rPr>
          <w:szCs w:val="22"/>
        </w:rPr>
      </w:pPr>
      <w:r w:rsidRPr="00397519">
        <w:rPr>
          <w:szCs w:val="22"/>
        </w:rPr>
        <w:t>Mælk: 24 timer (</w:t>
      </w:r>
      <w:proofErr w:type="spellStart"/>
      <w:r w:rsidRPr="00397519">
        <w:rPr>
          <w:szCs w:val="22"/>
        </w:rPr>
        <w:t>i.v</w:t>
      </w:r>
      <w:proofErr w:type="spellEnd"/>
      <w:r w:rsidRPr="00397519">
        <w:rPr>
          <w:szCs w:val="22"/>
        </w:rPr>
        <w:t>.) / 36 timer (</w:t>
      </w:r>
      <w:proofErr w:type="spellStart"/>
      <w:r w:rsidRPr="00397519">
        <w:rPr>
          <w:szCs w:val="22"/>
        </w:rPr>
        <w:t>i.m</w:t>
      </w:r>
      <w:proofErr w:type="spellEnd"/>
      <w:r w:rsidRPr="00397519">
        <w:rPr>
          <w:szCs w:val="22"/>
        </w:rPr>
        <w:t>.).</w:t>
      </w:r>
    </w:p>
    <w:p w:rsidR="008E328B" w:rsidRPr="00397519" w:rsidRDefault="008E328B" w:rsidP="008E328B">
      <w:pPr>
        <w:ind w:left="851"/>
        <w:rPr>
          <w:szCs w:val="22"/>
        </w:rPr>
      </w:pPr>
    </w:p>
    <w:p w:rsidR="008E328B" w:rsidRPr="00397519" w:rsidRDefault="008E328B" w:rsidP="008E328B">
      <w:pPr>
        <w:ind w:left="851"/>
        <w:rPr>
          <w:b/>
          <w:szCs w:val="22"/>
        </w:rPr>
      </w:pPr>
      <w:r w:rsidRPr="00397519">
        <w:rPr>
          <w:b/>
          <w:szCs w:val="22"/>
        </w:rPr>
        <w:t>Svin:</w:t>
      </w:r>
    </w:p>
    <w:p w:rsidR="008E328B" w:rsidRPr="00397519" w:rsidRDefault="008E328B" w:rsidP="008E328B">
      <w:pPr>
        <w:ind w:left="851"/>
        <w:rPr>
          <w:szCs w:val="22"/>
        </w:rPr>
      </w:pPr>
      <w:r w:rsidRPr="00397519">
        <w:rPr>
          <w:szCs w:val="22"/>
        </w:rPr>
        <w:t>Slagtning: 20 dage.</w:t>
      </w:r>
    </w:p>
    <w:p w:rsidR="008E328B" w:rsidRPr="00397519" w:rsidRDefault="008E328B" w:rsidP="008E328B">
      <w:pPr>
        <w:ind w:left="851"/>
        <w:rPr>
          <w:szCs w:val="22"/>
        </w:rPr>
      </w:pPr>
    </w:p>
    <w:p w:rsidR="008E328B" w:rsidRPr="00397519" w:rsidRDefault="008E328B" w:rsidP="008E328B">
      <w:pPr>
        <w:ind w:left="851"/>
        <w:rPr>
          <w:b/>
          <w:szCs w:val="22"/>
        </w:rPr>
      </w:pPr>
      <w:r w:rsidRPr="00397519">
        <w:rPr>
          <w:b/>
          <w:szCs w:val="22"/>
        </w:rPr>
        <w:t>Hest:</w:t>
      </w:r>
    </w:p>
    <w:p w:rsidR="008E328B" w:rsidRPr="00397519" w:rsidRDefault="008E328B" w:rsidP="008E328B">
      <w:pPr>
        <w:ind w:left="851"/>
        <w:rPr>
          <w:szCs w:val="22"/>
        </w:rPr>
      </w:pPr>
      <w:r w:rsidRPr="00397519">
        <w:rPr>
          <w:szCs w:val="22"/>
        </w:rPr>
        <w:t>Slagtning: 10 dage.</w:t>
      </w:r>
    </w:p>
    <w:p w:rsidR="008E328B" w:rsidRPr="00397519" w:rsidRDefault="008E328B" w:rsidP="008E328B">
      <w:pPr>
        <w:ind w:left="851"/>
        <w:rPr>
          <w:szCs w:val="22"/>
        </w:rPr>
      </w:pPr>
      <w:r w:rsidRPr="00397519">
        <w:rPr>
          <w:szCs w:val="22"/>
        </w:rPr>
        <w:t>Mælk: Må ikke anvendes til dyr, hvis mælk er bestemt til menneskeføde.</w:t>
      </w:r>
    </w:p>
    <w:p w:rsidR="008E328B" w:rsidRPr="00397519" w:rsidRDefault="008E328B" w:rsidP="008E328B">
      <w:pPr>
        <w:ind w:left="851"/>
        <w:rPr>
          <w:szCs w:val="22"/>
        </w:rPr>
      </w:pPr>
    </w:p>
    <w:p w:rsidR="008E328B" w:rsidRPr="00043232" w:rsidRDefault="008E328B" w:rsidP="00111AC4">
      <w:pPr>
        <w:ind w:left="851" w:hanging="851"/>
        <w:jc w:val="both"/>
        <w:rPr>
          <w:sz w:val="24"/>
          <w:szCs w:val="24"/>
        </w:rPr>
      </w:pPr>
    </w:p>
    <w:p w:rsidR="008E328B" w:rsidRPr="00397519" w:rsidRDefault="00111AC4" w:rsidP="008E328B">
      <w:pPr>
        <w:pStyle w:val="Style1"/>
        <w:ind w:left="851" w:hanging="851"/>
      </w:pPr>
      <w:r w:rsidRPr="00043232">
        <w:rPr>
          <w:sz w:val="24"/>
          <w:szCs w:val="24"/>
        </w:rPr>
        <w:t>4.</w:t>
      </w:r>
      <w:r w:rsidRPr="00043232">
        <w:rPr>
          <w:sz w:val="24"/>
          <w:szCs w:val="24"/>
        </w:rPr>
        <w:tab/>
      </w:r>
      <w:r w:rsidR="008E328B" w:rsidRPr="00397519">
        <w:t>FARMAKOLOGISKE OPLYSNINGER</w:t>
      </w:r>
    </w:p>
    <w:p w:rsidR="00111AC4" w:rsidRDefault="00111AC4" w:rsidP="008E328B">
      <w:pPr>
        <w:ind w:left="851" w:hanging="851"/>
        <w:rPr>
          <w:sz w:val="24"/>
          <w:szCs w:val="24"/>
        </w:rPr>
      </w:pPr>
    </w:p>
    <w:p w:rsidR="008E328B" w:rsidRPr="00397519" w:rsidRDefault="008E328B" w:rsidP="008E328B">
      <w:pPr>
        <w:pStyle w:val="Style1"/>
        <w:ind w:left="851" w:hanging="851"/>
      </w:pPr>
      <w:r w:rsidRPr="00397519">
        <w:t>4.1</w:t>
      </w:r>
      <w:r w:rsidRPr="00397519">
        <w:tab/>
      </w:r>
      <w:proofErr w:type="spellStart"/>
      <w:r w:rsidRPr="00397519">
        <w:t>ATCvet</w:t>
      </w:r>
      <w:proofErr w:type="spellEnd"/>
      <w:r w:rsidRPr="00397519">
        <w:t>-kode:</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QM01AG90</w:t>
      </w:r>
    </w:p>
    <w:p w:rsidR="008E328B" w:rsidRDefault="008E328B" w:rsidP="008E328B">
      <w:pPr>
        <w:ind w:left="851" w:hanging="851"/>
        <w:rPr>
          <w:sz w:val="24"/>
          <w:szCs w:val="24"/>
        </w:rPr>
      </w:pPr>
    </w:p>
    <w:p w:rsidR="008E328B" w:rsidRPr="00397519" w:rsidRDefault="008E328B" w:rsidP="008E328B">
      <w:pPr>
        <w:pStyle w:val="Style1"/>
        <w:ind w:left="851" w:hanging="851"/>
      </w:pPr>
      <w:r w:rsidRPr="00397519">
        <w:t>4.2</w:t>
      </w:r>
      <w:r w:rsidRPr="00397519">
        <w:tab/>
      </w:r>
      <w:proofErr w:type="spellStart"/>
      <w:r w:rsidRPr="00397519">
        <w:t>Farmakodynamiske</w:t>
      </w:r>
      <w:proofErr w:type="spellEnd"/>
      <w:r w:rsidRPr="00397519">
        <w:t xml:space="preserve"> oplysninger</w:t>
      </w:r>
    </w:p>
    <w:p w:rsidR="008E328B" w:rsidRPr="00397519" w:rsidRDefault="008E328B" w:rsidP="008E328B">
      <w:pPr>
        <w:rPr>
          <w:szCs w:val="22"/>
        </w:rPr>
      </w:pP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(som </w:t>
      </w:r>
      <w:proofErr w:type="spellStart"/>
      <w:r w:rsidRPr="00397519">
        <w:rPr>
          <w:szCs w:val="22"/>
        </w:rPr>
        <w:t>meglumin</w:t>
      </w:r>
      <w:proofErr w:type="spellEnd"/>
      <w:r w:rsidRPr="00397519">
        <w:rPr>
          <w:szCs w:val="22"/>
        </w:rPr>
        <w:t xml:space="preserve">) udviser en potent hæmning af </w:t>
      </w:r>
      <w:proofErr w:type="spellStart"/>
      <w:r w:rsidRPr="00397519">
        <w:rPr>
          <w:szCs w:val="22"/>
        </w:rPr>
        <w:t>cyclooxygenase</w:t>
      </w:r>
      <w:proofErr w:type="spellEnd"/>
      <w:r w:rsidRPr="00397519">
        <w:rPr>
          <w:szCs w:val="22"/>
        </w:rPr>
        <w:t xml:space="preserve">-systemet (COX). Enzymet konverterer </w:t>
      </w:r>
      <w:proofErr w:type="spellStart"/>
      <w:r w:rsidRPr="00397519">
        <w:rPr>
          <w:szCs w:val="22"/>
        </w:rPr>
        <w:t>arachidonsyre</w:t>
      </w:r>
      <w:proofErr w:type="spellEnd"/>
      <w:r w:rsidRPr="00397519">
        <w:rPr>
          <w:szCs w:val="22"/>
        </w:rPr>
        <w:t xml:space="preserve"> til ustabile cykliske </w:t>
      </w:r>
      <w:proofErr w:type="spellStart"/>
      <w:r w:rsidRPr="00397519">
        <w:rPr>
          <w:szCs w:val="22"/>
        </w:rPr>
        <w:t>endoperoxider</w:t>
      </w:r>
      <w:proofErr w:type="spellEnd"/>
      <w:r w:rsidRPr="00397519">
        <w:rPr>
          <w:szCs w:val="22"/>
        </w:rPr>
        <w:t xml:space="preserve">, der bliver ændret til </w:t>
      </w:r>
      <w:proofErr w:type="spellStart"/>
      <w:r w:rsidRPr="00397519">
        <w:rPr>
          <w:szCs w:val="22"/>
        </w:rPr>
        <w:t>prostaglandiner</w:t>
      </w:r>
      <w:proofErr w:type="spellEnd"/>
      <w:r w:rsidRPr="00397519">
        <w:rPr>
          <w:szCs w:val="22"/>
        </w:rPr>
        <w:t xml:space="preserve">, </w:t>
      </w:r>
      <w:proofErr w:type="spellStart"/>
      <w:r w:rsidRPr="00397519">
        <w:rPr>
          <w:szCs w:val="22"/>
        </w:rPr>
        <w:t>prostacyklin</w:t>
      </w:r>
      <w:proofErr w:type="spellEnd"/>
      <w:r w:rsidRPr="00397519">
        <w:rPr>
          <w:szCs w:val="22"/>
        </w:rPr>
        <w:t xml:space="preserve"> og </w:t>
      </w:r>
      <w:proofErr w:type="spellStart"/>
      <w:r w:rsidRPr="00397519">
        <w:rPr>
          <w:szCs w:val="22"/>
        </w:rPr>
        <w:t>thromboxan</w:t>
      </w:r>
      <w:proofErr w:type="spellEnd"/>
      <w:r w:rsidRPr="00397519">
        <w:rPr>
          <w:szCs w:val="22"/>
        </w:rPr>
        <w:t xml:space="preserve">. Nogle af disse </w:t>
      </w:r>
      <w:proofErr w:type="spellStart"/>
      <w:r w:rsidRPr="00397519">
        <w:rPr>
          <w:szCs w:val="22"/>
        </w:rPr>
        <w:t>prostanoider</w:t>
      </w:r>
      <w:proofErr w:type="spellEnd"/>
      <w:r w:rsidRPr="00397519">
        <w:rPr>
          <w:szCs w:val="22"/>
        </w:rPr>
        <w:t xml:space="preserve">, eks. </w:t>
      </w:r>
      <w:proofErr w:type="spellStart"/>
      <w:r w:rsidRPr="00397519">
        <w:rPr>
          <w:szCs w:val="22"/>
        </w:rPr>
        <w:t>prostaglandiner</w:t>
      </w:r>
      <w:proofErr w:type="spellEnd"/>
      <w:r w:rsidRPr="00397519">
        <w:rPr>
          <w:szCs w:val="22"/>
        </w:rPr>
        <w:t xml:space="preserve"> er involveret i mekanismer for inflammation, smerte og feber. Det er hæmning af syntesen af sådanne komponenter, der er baggrunden for </w:t>
      </w:r>
      <w:proofErr w:type="spellStart"/>
      <w:r w:rsidRPr="00397519">
        <w:rPr>
          <w:szCs w:val="22"/>
        </w:rPr>
        <w:t>flunixin</w:t>
      </w:r>
      <w:proofErr w:type="spellEnd"/>
      <w:r w:rsidRPr="00397519">
        <w:rPr>
          <w:szCs w:val="22"/>
        </w:rPr>
        <w:t xml:space="preserve"> </w:t>
      </w:r>
      <w:proofErr w:type="spellStart"/>
      <w:r w:rsidRPr="00397519">
        <w:rPr>
          <w:szCs w:val="22"/>
        </w:rPr>
        <w:t>meglumins</w:t>
      </w:r>
      <w:proofErr w:type="spellEnd"/>
      <w:r w:rsidRPr="00397519">
        <w:rPr>
          <w:szCs w:val="22"/>
        </w:rPr>
        <w:t xml:space="preserve"> terapeutiske virkningsmekanismer. </w:t>
      </w:r>
    </w:p>
    <w:p w:rsidR="008E328B" w:rsidRPr="00397519" w:rsidRDefault="008E328B" w:rsidP="008E328B">
      <w:pPr>
        <w:ind w:left="851"/>
        <w:rPr>
          <w:b/>
          <w:szCs w:val="22"/>
        </w:rPr>
      </w:pPr>
    </w:p>
    <w:p w:rsidR="008E328B" w:rsidRPr="00397519" w:rsidRDefault="008E328B" w:rsidP="008E328B">
      <w:pPr>
        <w:ind w:left="851"/>
        <w:rPr>
          <w:szCs w:val="22"/>
        </w:rPr>
      </w:pPr>
      <w:proofErr w:type="spellStart"/>
      <w:r w:rsidRPr="00397519">
        <w:rPr>
          <w:szCs w:val="22"/>
        </w:rPr>
        <w:lastRenderedPageBreak/>
        <w:t>Prostaglandiner</w:t>
      </w:r>
      <w:proofErr w:type="spellEnd"/>
      <w:r w:rsidRPr="00397519">
        <w:rPr>
          <w:szCs w:val="22"/>
        </w:rPr>
        <w:t xml:space="preserve"> er også en del af andre fysiologiske processer. COX-</w:t>
      </w:r>
      <w:proofErr w:type="spellStart"/>
      <w:r w:rsidRPr="00397519">
        <w:rPr>
          <w:szCs w:val="22"/>
        </w:rPr>
        <w:t>hæmmere</w:t>
      </w:r>
      <w:proofErr w:type="spellEnd"/>
      <w:r w:rsidRPr="00397519">
        <w:rPr>
          <w:szCs w:val="22"/>
        </w:rPr>
        <w:t xml:space="preserve"> er årsag til nogle af bivirkningerne, eks. forandringer i </w:t>
      </w:r>
      <w:proofErr w:type="spellStart"/>
      <w:r w:rsidRPr="00397519">
        <w:rPr>
          <w:szCs w:val="22"/>
        </w:rPr>
        <w:t>mave-tarmkanalen</w:t>
      </w:r>
      <w:proofErr w:type="spellEnd"/>
      <w:r w:rsidRPr="00397519">
        <w:rPr>
          <w:szCs w:val="22"/>
        </w:rPr>
        <w:t xml:space="preserve"> og nyrer.</w:t>
      </w:r>
    </w:p>
    <w:p w:rsidR="008E328B" w:rsidRPr="00397519" w:rsidRDefault="008E328B" w:rsidP="008E328B">
      <w:pPr>
        <w:ind w:left="851"/>
        <w:rPr>
          <w:szCs w:val="22"/>
        </w:rPr>
      </w:pPr>
      <w:proofErr w:type="spellStart"/>
      <w:r w:rsidRPr="00397519">
        <w:rPr>
          <w:szCs w:val="22"/>
        </w:rPr>
        <w:t>Prostaglandiner</w:t>
      </w:r>
      <w:proofErr w:type="spellEnd"/>
      <w:r w:rsidRPr="00397519">
        <w:rPr>
          <w:szCs w:val="22"/>
        </w:rPr>
        <w:t xml:space="preserve"> er involveret i den komplekse proces, der ligger til grund for </w:t>
      </w:r>
      <w:proofErr w:type="spellStart"/>
      <w:r w:rsidRPr="00397519">
        <w:rPr>
          <w:szCs w:val="22"/>
        </w:rPr>
        <w:t>endotoxæmisk</w:t>
      </w:r>
      <w:proofErr w:type="spellEnd"/>
      <w:r w:rsidRPr="00397519">
        <w:rPr>
          <w:szCs w:val="22"/>
        </w:rPr>
        <w:t xml:space="preserve"> </w:t>
      </w:r>
      <w:proofErr w:type="spellStart"/>
      <w:r w:rsidRPr="00397519">
        <w:rPr>
          <w:szCs w:val="22"/>
        </w:rPr>
        <w:t>shock</w:t>
      </w:r>
      <w:proofErr w:type="spellEnd"/>
      <w:r w:rsidRPr="00397519">
        <w:rPr>
          <w:szCs w:val="22"/>
        </w:rPr>
        <w:t>.</w:t>
      </w:r>
    </w:p>
    <w:p w:rsidR="008E328B" w:rsidRDefault="008E328B" w:rsidP="008E328B">
      <w:pPr>
        <w:ind w:left="851" w:hanging="851"/>
        <w:rPr>
          <w:sz w:val="24"/>
          <w:szCs w:val="24"/>
        </w:rPr>
      </w:pPr>
    </w:p>
    <w:p w:rsidR="008E328B" w:rsidRPr="00397519" w:rsidRDefault="008E328B" w:rsidP="008E328B">
      <w:pPr>
        <w:pStyle w:val="Style1"/>
        <w:ind w:left="851" w:hanging="851"/>
      </w:pPr>
      <w:r w:rsidRPr="00397519">
        <w:t>4.3</w:t>
      </w:r>
      <w:r w:rsidRPr="00397519">
        <w:tab/>
      </w:r>
      <w:proofErr w:type="spellStart"/>
      <w:r w:rsidRPr="00397519">
        <w:t>Farmakokinetiske</w:t>
      </w:r>
      <w:proofErr w:type="spellEnd"/>
      <w:r w:rsidRPr="00397519">
        <w:t xml:space="preserve"> oplysninger</w:t>
      </w:r>
    </w:p>
    <w:p w:rsidR="008E328B" w:rsidRPr="00397519" w:rsidRDefault="008E328B" w:rsidP="008E328B">
      <w:pPr>
        <w:rPr>
          <w:szCs w:val="22"/>
        </w:rPr>
      </w:pPr>
    </w:p>
    <w:p w:rsidR="008E328B" w:rsidRPr="00397519" w:rsidRDefault="008E328B" w:rsidP="008E328B">
      <w:pPr>
        <w:ind w:left="851"/>
        <w:rPr>
          <w:szCs w:val="22"/>
        </w:rPr>
      </w:pPr>
      <w:r w:rsidRPr="00F52726">
        <w:rPr>
          <w:bCs/>
          <w:szCs w:val="22"/>
        </w:rPr>
        <w:t>Kvæg</w:t>
      </w:r>
      <w:r w:rsidRPr="00397519">
        <w:rPr>
          <w:szCs w:val="22"/>
        </w:rPr>
        <w:t xml:space="preserve">: Efter </w:t>
      </w:r>
      <w:r w:rsidRPr="00397519">
        <w:rPr>
          <w:iCs/>
          <w:szCs w:val="22"/>
        </w:rPr>
        <w:t xml:space="preserve">intramuskulær </w:t>
      </w:r>
      <w:r w:rsidRPr="00397519">
        <w:rPr>
          <w:szCs w:val="22"/>
        </w:rPr>
        <w:t>injektion af en dosis på 2 mg/kg opnås maksimal koncentration på 2,5 µg/ml ca. 30 minutter efter injektion.</w:t>
      </w:r>
    </w:p>
    <w:p w:rsidR="008E328B" w:rsidRPr="00397519" w:rsidRDefault="008E328B" w:rsidP="008E328B">
      <w:pPr>
        <w:ind w:left="851"/>
        <w:rPr>
          <w:szCs w:val="22"/>
        </w:rPr>
      </w:pPr>
      <w:r w:rsidRPr="00397519">
        <w:rPr>
          <w:szCs w:val="22"/>
        </w:rPr>
        <w:t xml:space="preserve">Efter intravenøs injektion fordeles </w:t>
      </w:r>
      <w:proofErr w:type="spellStart"/>
      <w:r w:rsidRPr="00397519">
        <w:rPr>
          <w:szCs w:val="22"/>
        </w:rPr>
        <w:t>flunixin</w:t>
      </w:r>
      <w:proofErr w:type="spellEnd"/>
      <w:r w:rsidRPr="00397519">
        <w:rPr>
          <w:szCs w:val="22"/>
        </w:rPr>
        <w:t xml:space="preserve"> hurtigt. Udskillelsen er langsom (ca. 4 timer).</w:t>
      </w: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bindes i høj grad til plasmaproteiner (&gt;99%).</w:t>
      </w:r>
    </w:p>
    <w:p w:rsidR="008E328B" w:rsidRPr="00397519" w:rsidRDefault="008E328B" w:rsidP="008E328B">
      <w:pPr>
        <w:ind w:left="851"/>
        <w:rPr>
          <w:szCs w:val="22"/>
        </w:rPr>
      </w:pPr>
    </w:p>
    <w:p w:rsidR="008E328B" w:rsidRPr="00397519" w:rsidRDefault="008E328B" w:rsidP="008E328B">
      <w:pPr>
        <w:ind w:left="851"/>
        <w:rPr>
          <w:szCs w:val="22"/>
        </w:rPr>
      </w:pPr>
      <w:r w:rsidRPr="00F52726">
        <w:rPr>
          <w:bCs/>
          <w:szCs w:val="22"/>
        </w:rPr>
        <w:t>Svin</w:t>
      </w:r>
      <w:r w:rsidRPr="00397519">
        <w:rPr>
          <w:szCs w:val="22"/>
        </w:rPr>
        <w:t>: Efter intramuskulær injektion af en dosis på 2 mg/kg opnås maksimal koncentration på 4 µg/ml ca. 30 minutter efter injektion.</w:t>
      </w:r>
    </w:p>
    <w:p w:rsidR="008E328B" w:rsidRPr="00397519" w:rsidRDefault="008E328B" w:rsidP="008E328B">
      <w:pPr>
        <w:ind w:left="851"/>
        <w:rPr>
          <w:szCs w:val="22"/>
        </w:rPr>
      </w:pPr>
      <w:r w:rsidRPr="00397519">
        <w:rPr>
          <w:szCs w:val="22"/>
        </w:rPr>
        <w:t xml:space="preserve">Efter intravenøs injektion fordeles </w:t>
      </w:r>
      <w:proofErr w:type="spellStart"/>
      <w:r w:rsidRPr="00397519">
        <w:rPr>
          <w:szCs w:val="22"/>
        </w:rPr>
        <w:t>flunixin</w:t>
      </w:r>
      <w:proofErr w:type="spellEnd"/>
      <w:r w:rsidRPr="00397519">
        <w:rPr>
          <w:szCs w:val="22"/>
        </w:rPr>
        <w:t xml:space="preserve"> hurtigt. Udskillelsen er langsom (ca. 8 timer).</w:t>
      </w: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bindes i høj grad til plasmaproteiner (&gt;98%).</w:t>
      </w:r>
    </w:p>
    <w:p w:rsidR="008E328B" w:rsidRPr="00397519" w:rsidRDefault="008E328B" w:rsidP="008E328B">
      <w:pPr>
        <w:ind w:left="851"/>
        <w:rPr>
          <w:b/>
          <w:szCs w:val="22"/>
        </w:rPr>
      </w:pPr>
    </w:p>
    <w:p w:rsidR="008E328B" w:rsidRPr="00397519" w:rsidRDefault="008E328B" w:rsidP="008E328B">
      <w:pPr>
        <w:ind w:left="851"/>
        <w:rPr>
          <w:szCs w:val="22"/>
        </w:rPr>
      </w:pPr>
      <w:r w:rsidRPr="00F52726">
        <w:rPr>
          <w:bCs/>
          <w:szCs w:val="22"/>
        </w:rPr>
        <w:t>Hest</w:t>
      </w:r>
      <w:r w:rsidRPr="00397519">
        <w:rPr>
          <w:szCs w:val="22"/>
        </w:rPr>
        <w:t xml:space="preserve">: Efter intravenøs injektion af en dosis på 1 mg/kg fordeles </w:t>
      </w:r>
      <w:proofErr w:type="spellStart"/>
      <w:r w:rsidRPr="00397519">
        <w:rPr>
          <w:szCs w:val="22"/>
        </w:rPr>
        <w:t>flunixin</w:t>
      </w:r>
      <w:proofErr w:type="spellEnd"/>
      <w:r w:rsidRPr="00397519">
        <w:rPr>
          <w:szCs w:val="22"/>
        </w:rPr>
        <w:t xml:space="preserve"> hurtigt. Halveringstid for udskillelse er 1,6 timer.</w:t>
      </w:r>
    </w:p>
    <w:p w:rsidR="008E328B" w:rsidRPr="00397519" w:rsidRDefault="008E328B" w:rsidP="008E328B">
      <w:pPr>
        <w:ind w:left="851"/>
        <w:rPr>
          <w:szCs w:val="22"/>
        </w:rPr>
      </w:pPr>
      <w:proofErr w:type="spellStart"/>
      <w:r w:rsidRPr="00397519">
        <w:rPr>
          <w:szCs w:val="22"/>
        </w:rPr>
        <w:t>Flunixin</w:t>
      </w:r>
      <w:proofErr w:type="spellEnd"/>
      <w:r w:rsidRPr="00397519">
        <w:rPr>
          <w:szCs w:val="22"/>
        </w:rPr>
        <w:t xml:space="preserve"> udskilles hovedsageligt via nyrerne, i konjugeret form.</w:t>
      </w:r>
    </w:p>
    <w:p w:rsidR="008E328B" w:rsidRPr="00397519" w:rsidRDefault="008E328B" w:rsidP="008E328B">
      <w:pPr>
        <w:ind w:left="851"/>
        <w:rPr>
          <w:szCs w:val="22"/>
        </w:rPr>
      </w:pPr>
    </w:p>
    <w:p w:rsidR="008E328B" w:rsidRPr="00A9549F" w:rsidRDefault="008E328B" w:rsidP="008E328B">
      <w:pPr>
        <w:tabs>
          <w:tab w:val="left" w:pos="0"/>
        </w:tabs>
        <w:ind w:left="851"/>
        <w:rPr>
          <w:b/>
          <w:szCs w:val="22"/>
          <w:lang w:val="nb-NO"/>
        </w:rPr>
      </w:pPr>
      <w:r w:rsidRPr="00A9549F">
        <w:rPr>
          <w:b/>
          <w:szCs w:val="22"/>
          <w:lang w:val="nb-NO"/>
        </w:rPr>
        <w:t>Miljøoplysninger</w:t>
      </w:r>
    </w:p>
    <w:p w:rsidR="008E328B" w:rsidRPr="00A9549F" w:rsidRDefault="008E328B" w:rsidP="008E328B">
      <w:pPr>
        <w:ind w:left="851"/>
        <w:rPr>
          <w:szCs w:val="22"/>
          <w:lang w:val="nb-NO"/>
        </w:rPr>
      </w:pPr>
      <w:r w:rsidRPr="00A9549F">
        <w:rPr>
          <w:szCs w:val="22"/>
          <w:lang w:val="nb-NO"/>
        </w:rPr>
        <w:t xml:space="preserve">Flunixin er toksisk for </w:t>
      </w:r>
      <w:r w:rsidRPr="00A9549F">
        <w:rPr>
          <w:sz w:val="22"/>
          <w:szCs w:val="22"/>
        </w:rPr>
        <w:t xml:space="preserve">ådselædende </w:t>
      </w:r>
      <w:r w:rsidRPr="00A9549F">
        <w:rPr>
          <w:szCs w:val="22"/>
          <w:lang w:val="nb-NO"/>
        </w:rPr>
        <w:t>fugle</w:t>
      </w:r>
      <w:r w:rsidRPr="00847B16">
        <w:rPr>
          <w:szCs w:val="22"/>
          <w:lang w:val="nb-NO"/>
        </w:rPr>
        <w:t>, men lav</w:t>
      </w:r>
      <w:r>
        <w:rPr>
          <w:szCs w:val="22"/>
          <w:lang w:val="nb-NO"/>
        </w:rPr>
        <w:t xml:space="preserve"> </w:t>
      </w:r>
      <w:r w:rsidRPr="00847B16">
        <w:rPr>
          <w:szCs w:val="22"/>
          <w:lang w:val="nb-NO"/>
        </w:rPr>
        <w:t>eksponering forventes at fører til lav risiko.</w:t>
      </w:r>
      <w:r>
        <w:rPr>
          <w:szCs w:val="22"/>
          <w:lang w:val="nb-NO"/>
        </w:rPr>
        <w:t xml:space="preserve"> </w:t>
      </w:r>
    </w:p>
    <w:p w:rsidR="008E328B" w:rsidRPr="00043232" w:rsidRDefault="008E328B" w:rsidP="00111AC4">
      <w:pPr>
        <w:pStyle w:val="Sidehoved"/>
        <w:tabs>
          <w:tab w:val="clear" w:pos="4819"/>
          <w:tab w:val="clear" w:pos="9638"/>
        </w:tabs>
        <w:ind w:left="851" w:hanging="851"/>
        <w:jc w:val="both"/>
        <w:rPr>
          <w:szCs w:val="24"/>
        </w:rPr>
      </w:pPr>
    </w:p>
    <w:p w:rsidR="00111AC4" w:rsidRPr="00043232" w:rsidRDefault="00111AC4" w:rsidP="00111AC4">
      <w:pPr>
        <w:ind w:left="851" w:hanging="851"/>
        <w:jc w:val="both"/>
        <w:rPr>
          <w:sz w:val="24"/>
          <w:szCs w:val="24"/>
        </w:rPr>
      </w:pPr>
    </w:p>
    <w:p w:rsidR="008E328B" w:rsidRPr="008E328B" w:rsidRDefault="00111AC4" w:rsidP="00111AC4">
      <w:pPr>
        <w:ind w:left="851" w:hanging="851"/>
        <w:rPr>
          <w:b/>
        </w:rPr>
      </w:pPr>
      <w:r w:rsidRPr="00F747C2">
        <w:rPr>
          <w:b/>
          <w:sz w:val="24"/>
          <w:szCs w:val="24"/>
        </w:rPr>
        <w:t>5.</w:t>
      </w:r>
      <w:r w:rsidRPr="00F747C2">
        <w:rPr>
          <w:b/>
          <w:sz w:val="24"/>
          <w:szCs w:val="24"/>
        </w:rPr>
        <w:tab/>
      </w:r>
      <w:r w:rsidR="008E328B" w:rsidRPr="008E328B">
        <w:rPr>
          <w:b/>
        </w:rPr>
        <w:t>FARMACEUTISKE OPLYSNINGER</w:t>
      </w:r>
    </w:p>
    <w:p w:rsidR="008E328B" w:rsidRDefault="00111AC4" w:rsidP="00111AC4">
      <w:pPr>
        <w:ind w:left="851" w:hanging="851"/>
        <w:rPr>
          <w:sz w:val="24"/>
          <w:szCs w:val="24"/>
        </w:rPr>
      </w:pPr>
      <w:r w:rsidRPr="00F747C2">
        <w:rPr>
          <w:sz w:val="24"/>
          <w:szCs w:val="24"/>
        </w:rPr>
        <w:tab/>
      </w:r>
    </w:p>
    <w:p w:rsidR="008E328B" w:rsidRPr="00397519" w:rsidRDefault="008E328B" w:rsidP="008E328B">
      <w:pPr>
        <w:pStyle w:val="Style1"/>
        <w:ind w:left="851" w:hanging="851"/>
      </w:pPr>
      <w:r w:rsidRPr="00397519">
        <w:t>5.1</w:t>
      </w:r>
      <w:r w:rsidRPr="00397519">
        <w:tab/>
        <w:t>Væsentlige uforligeligheder</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Da der ikke foreligger undersøgelser vedrørende eventuelle uforligeligheder, bør dette veterinærlægemiddel ikke blandes med andre veterinærlægemidler.</w:t>
      </w:r>
    </w:p>
    <w:p w:rsidR="008E328B" w:rsidRDefault="008E328B" w:rsidP="00111AC4">
      <w:pPr>
        <w:ind w:left="851" w:hanging="851"/>
        <w:rPr>
          <w:sz w:val="24"/>
          <w:szCs w:val="24"/>
        </w:rPr>
      </w:pPr>
    </w:p>
    <w:p w:rsidR="008E328B" w:rsidRPr="00397519" w:rsidRDefault="008E328B" w:rsidP="008E328B">
      <w:pPr>
        <w:pStyle w:val="Style1"/>
        <w:ind w:left="851" w:hanging="851"/>
      </w:pPr>
      <w:r w:rsidRPr="00397519">
        <w:t>5.2</w:t>
      </w:r>
      <w:r w:rsidRPr="00397519">
        <w:tab/>
        <w:t>Opbevaringstid</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Opbevaringstid for veterinærlægemidlet i salgspakning i glasflasker: 3 år.</w:t>
      </w:r>
    </w:p>
    <w:p w:rsidR="008E328B" w:rsidRPr="00397519" w:rsidRDefault="008E328B" w:rsidP="008E328B">
      <w:pPr>
        <w:ind w:left="851"/>
        <w:rPr>
          <w:szCs w:val="22"/>
        </w:rPr>
      </w:pPr>
      <w:r w:rsidRPr="00397519">
        <w:rPr>
          <w:szCs w:val="22"/>
        </w:rPr>
        <w:t>Opbevaringstid efter første åbning af den indre emballage: 28 dage.</w:t>
      </w:r>
    </w:p>
    <w:p w:rsidR="008E328B" w:rsidRPr="00397519" w:rsidRDefault="008E328B" w:rsidP="008E328B">
      <w:pPr>
        <w:rPr>
          <w:szCs w:val="22"/>
        </w:rPr>
      </w:pPr>
    </w:p>
    <w:p w:rsidR="008E328B" w:rsidRPr="00397519" w:rsidRDefault="008E328B" w:rsidP="008E328B">
      <w:pPr>
        <w:pStyle w:val="Style1"/>
        <w:ind w:left="851" w:hanging="851"/>
      </w:pPr>
      <w:r w:rsidRPr="00397519">
        <w:t>5.3</w:t>
      </w:r>
      <w:r w:rsidRPr="00397519">
        <w:tab/>
        <w:t>Særlige forholdsregler vedrørende opbevaring</w:t>
      </w:r>
    </w:p>
    <w:p w:rsidR="008E328B" w:rsidRPr="00397519" w:rsidRDefault="008E328B" w:rsidP="008E328B">
      <w:pPr>
        <w:rPr>
          <w:szCs w:val="22"/>
        </w:rPr>
      </w:pPr>
    </w:p>
    <w:p w:rsidR="008E328B" w:rsidRPr="00397519" w:rsidRDefault="008E328B" w:rsidP="008E328B">
      <w:pPr>
        <w:pStyle w:val="Style5"/>
        <w:ind w:left="851"/>
      </w:pPr>
      <w:r w:rsidRPr="00397519">
        <w:t xml:space="preserve">Må ikke opbevares over 25 °C efter første åbning af den indre emballage. </w:t>
      </w:r>
    </w:p>
    <w:p w:rsidR="008E328B" w:rsidRDefault="008E328B" w:rsidP="00111AC4">
      <w:pPr>
        <w:ind w:left="851" w:hanging="851"/>
        <w:rPr>
          <w:sz w:val="24"/>
          <w:szCs w:val="24"/>
        </w:rPr>
      </w:pPr>
    </w:p>
    <w:p w:rsidR="008E328B" w:rsidRPr="00397519" w:rsidRDefault="008E328B" w:rsidP="008E328B">
      <w:pPr>
        <w:pStyle w:val="Style1"/>
        <w:ind w:left="851" w:hanging="851"/>
      </w:pPr>
      <w:r w:rsidRPr="00397519">
        <w:t>5.4</w:t>
      </w:r>
      <w:r w:rsidRPr="00397519">
        <w:tab/>
        <w:t>Den indre emballages art og indhold</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 xml:space="preserve">50, 100 eller 250 ml farveløst hætteglas af Type II glas, forseglet med </w:t>
      </w:r>
      <w:proofErr w:type="spellStart"/>
      <w:r w:rsidRPr="00397519">
        <w:rPr>
          <w:szCs w:val="22"/>
        </w:rPr>
        <w:t>chlorobutyl</w:t>
      </w:r>
      <w:proofErr w:type="spellEnd"/>
      <w:r w:rsidRPr="00397519">
        <w:rPr>
          <w:szCs w:val="22"/>
        </w:rPr>
        <w:t xml:space="preserve"> gummiprop og aluminium-forsegling med en flip-</w:t>
      </w:r>
      <w:proofErr w:type="spellStart"/>
      <w:r w:rsidRPr="00397519">
        <w:rPr>
          <w:szCs w:val="22"/>
        </w:rPr>
        <w:t>off</w:t>
      </w:r>
      <w:proofErr w:type="spellEnd"/>
      <w:r w:rsidRPr="00397519">
        <w:rPr>
          <w:szCs w:val="22"/>
        </w:rPr>
        <w:t xml:space="preserve"> hætte på.</w:t>
      </w:r>
    </w:p>
    <w:p w:rsidR="008E328B" w:rsidRPr="00397519" w:rsidRDefault="008E328B" w:rsidP="008E328B">
      <w:pPr>
        <w:ind w:left="851"/>
        <w:rPr>
          <w:szCs w:val="22"/>
        </w:rPr>
      </w:pPr>
      <w:r w:rsidRPr="00397519">
        <w:rPr>
          <w:szCs w:val="22"/>
        </w:rPr>
        <w:t>50, 100 eller 250 ml gennemsigtigt hætteglas af flerlagsplastik (polypropylen/</w:t>
      </w:r>
      <w:proofErr w:type="spellStart"/>
      <w:r w:rsidRPr="00397519">
        <w:rPr>
          <w:szCs w:val="22"/>
        </w:rPr>
        <w:t>ethylenvinylalkohol</w:t>
      </w:r>
      <w:proofErr w:type="spellEnd"/>
      <w:r w:rsidRPr="00397519">
        <w:rPr>
          <w:szCs w:val="22"/>
        </w:rPr>
        <w:t xml:space="preserve">/polypropylen) med </w:t>
      </w:r>
      <w:proofErr w:type="spellStart"/>
      <w:r w:rsidRPr="00397519">
        <w:rPr>
          <w:szCs w:val="22"/>
        </w:rPr>
        <w:t>bromobutyl</w:t>
      </w:r>
      <w:proofErr w:type="spellEnd"/>
      <w:r w:rsidRPr="00397519">
        <w:rPr>
          <w:szCs w:val="22"/>
        </w:rPr>
        <w:t xml:space="preserve"> gummiprop med aluminiumshætte.</w:t>
      </w:r>
    </w:p>
    <w:p w:rsidR="008E328B" w:rsidRPr="00397519" w:rsidRDefault="008E328B" w:rsidP="008E328B">
      <w:pPr>
        <w:ind w:left="851"/>
        <w:rPr>
          <w:szCs w:val="22"/>
        </w:rPr>
      </w:pPr>
      <w:r w:rsidRPr="00397519">
        <w:rPr>
          <w:szCs w:val="22"/>
        </w:rPr>
        <w:t xml:space="preserve">1 hætteglas per æske. </w:t>
      </w:r>
    </w:p>
    <w:p w:rsidR="008E328B" w:rsidRPr="00397519" w:rsidRDefault="008E328B" w:rsidP="008E328B">
      <w:pPr>
        <w:ind w:left="851"/>
        <w:rPr>
          <w:szCs w:val="22"/>
        </w:rPr>
      </w:pPr>
    </w:p>
    <w:p w:rsidR="008E328B" w:rsidRPr="00397519" w:rsidRDefault="008E328B" w:rsidP="008E328B">
      <w:pPr>
        <w:ind w:left="851" w:hanging="851"/>
        <w:rPr>
          <w:szCs w:val="22"/>
        </w:rPr>
      </w:pPr>
      <w:r w:rsidRPr="00397519">
        <w:rPr>
          <w:szCs w:val="22"/>
        </w:rPr>
        <w:tab/>
        <w:t>Ikke alle pakningsstørrelser er nødvendigvis markedsført.</w:t>
      </w:r>
    </w:p>
    <w:p w:rsidR="008E328B" w:rsidRPr="00397519" w:rsidRDefault="008E328B" w:rsidP="008E328B">
      <w:pPr>
        <w:rPr>
          <w:szCs w:val="22"/>
        </w:rPr>
      </w:pPr>
    </w:p>
    <w:p w:rsidR="008E328B" w:rsidRPr="00397519" w:rsidRDefault="008E328B" w:rsidP="008E328B">
      <w:pPr>
        <w:pStyle w:val="Style1"/>
        <w:ind w:left="851" w:hanging="851"/>
      </w:pPr>
      <w:r w:rsidRPr="00397519">
        <w:lastRenderedPageBreak/>
        <w:t>5.5</w:t>
      </w:r>
      <w:r w:rsidRPr="00397519">
        <w:tab/>
        <w:t>Særlige forholdsregler vedrørende bortskaffelse af ubrugte veterinærlægemidler eller affaldsmaterialer fra brugen heraf</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Lægemidler må ikke bortskaffes sammen med spildevand eller husholdningsaffald.</w:t>
      </w:r>
    </w:p>
    <w:p w:rsidR="008E328B" w:rsidRPr="00397519" w:rsidRDefault="008E328B" w:rsidP="008E328B">
      <w:pPr>
        <w:ind w:left="851"/>
        <w:rPr>
          <w:szCs w:val="22"/>
        </w:rPr>
      </w:pPr>
    </w:p>
    <w:p w:rsidR="008E328B" w:rsidRPr="00397519" w:rsidRDefault="008E328B" w:rsidP="008E328B">
      <w:pPr>
        <w:ind w:left="851" w:right="-143"/>
        <w:rPr>
          <w:szCs w:val="22"/>
        </w:rPr>
      </w:pPr>
      <w:r w:rsidRPr="00397519">
        <w:rPr>
          <w:szCs w:val="22"/>
        </w:rPr>
        <w:t>Benyt returordninger ved bortskaffelse af ubrugte veterinærlægemidler eller affaldsmaterialer herfra i henhold til lokale retningslinjer og nationale indsamlingsordninger, der er relevante for det pågældende veterinærlægemiddel.</w:t>
      </w:r>
    </w:p>
    <w:p w:rsidR="00111AC4" w:rsidRPr="00043232" w:rsidRDefault="00111AC4" w:rsidP="008E328B">
      <w:pPr>
        <w:rPr>
          <w:sz w:val="24"/>
          <w:szCs w:val="24"/>
        </w:rPr>
      </w:pPr>
    </w:p>
    <w:p w:rsidR="00111AC4" w:rsidRDefault="00111AC4" w:rsidP="00111AC4">
      <w:pPr>
        <w:ind w:left="851" w:hanging="851"/>
        <w:jc w:val="both"/>
        <w:rPr>
          <w:sz w:val="24"/>
          <w:szCs w:val="24"/>
        </w:rPr>
      </w:pPr>
    </w:p>
    <w:p w:rsidR="008E328B" w:rsidRPr="00397519" w:rsidRDefault="008E328B" w:rsidP="008E328B">
      <w:pPr>
        <w:pStyle w:val="Style1"/>
        <w:ind w:left="851" w:hanging="851"/>
      </w:pPr>
      <w:r w:rsidRPr="00397519">
        <w:t>6.</w:t>
      </w:r>
      <w:r w:rsidRPr="00397519">
        <w:tab/>
        <w:t>NAVN PÅ INDEHAVEREN AF MARKEDSFØRINGSTILLADELSEN</w:t>
      </w:r>
    </w:p>
    <w:p w:rsidR="008E328B" w:rsidRPr="00397519" w:rsidRDefault="008E328B" w:rsidP="008E328B">
      <w:pPr>
        <w:ind w:left="851"/>
        <w:rPr>
          <w:szCs w:val="22"/>
        </w:rPr>
      </w:pPr>
    </w:p>
    <w:p w:rsidR="008E328B" w:rsidRPr="00397519" w:rsidRDefault="008E328B" w:rsidP="008E328B">
      <w:pPr>
        <w:ind w:left="851" w:right="-318"/>
        <w:rPr>
          <w:szCs w:val="22"/>
        </w:rPr>
      </w:pPr>
      <w:proofErr w:type="spellStart"/>
      <w:r w:rsidRPr="00397519">
        <w:rPr>
          <w:szCs w:val="22"/>
        </w:rPr>
        <w:t>Ceva</w:t>
      </w:r>
      <w:proofErr w:type="spellEnd"/>
      <w:r w:rsidRPr="00397519">
        <w:rPr>
          <w:szCs w:val="22"/>
        </w:rPr>
        <w:t xml:space="preserve"> </w:t>
      </w:r>
      <w:proofErr w:type="spellStart"/>
      <w:r w:rsidRPr="00397519">
        <w:rPr>
          <w:szCs w:val="22"/>
        </w:rPr>
        <w:t>Santé</w:t>
      </w:r>
      <w:proofErr w:type="spellEnd"/>
      <w:r w:rsidRPr="00397519">
        <w:rPr>
          <w:szCs w:val="22"/>
        </w:rPr>
        <w:t xml:space="preserve"> </w:t>
      </w:r>
      <w:proofErr w:type="spellStart"/>
      <w:r w:rsidRPr="00397519">
        <w:rPr>
          <w:szCs w:val="22"/>
        </w:rPr>
        <w:t>Animale</w:t>
      </w:r>
      <w:proofErr w:type="spellEnd"/>
    </w:p>
    <w:p w:rsidR="008E328B" w:rsidRPr="00A9549F" w:rsidRDefault="008E328B" w:rsidP="008E328B">
      <w:pPr>
        <w:ind w:left="851" w:right="-318"/>
        <w:rPr>
          <w:szCs w:val="22"/>
        </w:rPr>
      </w:pPr>
      <w:r w:rsidRPr="00A9549F">
        <w:rPr>
          <w:szCs w:val="22"/>
        </w:rPr>
        <w:t xml:space="preserve">10 avenue de la </w:t>
      </w:r>
      <w:proofErr w:type="spellStart"/>
      <w:r w:rsidRPr="00A9549F">
        <w:rPr>
          <w:szCs w:val="22"/>
        </w:rPr>
        <w:t>Ballastière</w:t>
      </w:r>
      <w:proofErr w:type="spellEnd"/>
    </w:p>
    <w:p w:rsidR="008E328B" w:rsidRPr="00A9549F" w:rsidRDefault="008E328B" w:rsidP="008E328B">
      <w:pPr>
        <w:ind w:left="851" w:right="-318"/>
        <w:rPr>
          <w:szCs w:val="22"/>
        </w:rPr>
      </w:pPr>
      <w:r w:rsidRPr="00A9549F">
        <w:rPr>
          <w:szCs w:val="22"/>
        </w:rPr>
        <w:t xml:space="preserve">33500 </w:t>
      </w:r>
      <w:proofErr w:type="spellStart"/>
      <w:r w:rsidRPr="00A9549F">
        <w:rPr>
          <w:szCs w:val="22"/>
        </w:rPr>
        <w:t>Libourne</w:t>
      </w:r>
      <w:proofErr w:type="spellEnd"/>
    </w:p>
    <w:p w:rsidR="008E328B" w:rsidRPr="00A9549F" w:rsidRDefault="008E328B" w:rsidP="008E328B">
      <w:pPr>
        <w:ind w:left="851" w:right="-318"/>
        <w:rPr>
          <w:szCs w:val="22"/>
        </w:rPr>
      </w:pPr>
      <w:r w:rsidRPr="00A9549F">
        <w:rPr>
          <w:szCs w:val="22"/>
        </w:rPr>
        <w:t>Frankrig</w:t>
      </w:r>
    </w:p>
    <w:p w:rsidR="008E328B" w:rsidRPr="00A9549F" w:rsidRDefault="008E328B" w:rsidP="008E328B">
      <w:pPr>
        <w:ind w:left="851" w:right="-318"/>
        <w:rPr>
          <w:szCs w:val="22"/>
        </w:rPr>
      </w:pPr>
    </w:p>
    <w:p w:rsidR="008E328B" w:rsidRPr="00A9549F" w:rsidRDefault="008E328B" w:rsidP="008E328B">
      <w:pPr>
        <w:ind w:left="851" w:right="-318"/>
        <w:rPr>
          <w:b/>
          <w:szCs w:val="22"/>
        </w:rPr>
      </w:pPr>
      <w:r w:rsidRPr="00A9549F">
        <w:rPr>
          <w:b/>
          <w:szCs w:val="22"/>
        </w:rPr>
        <w:t>Repræsentant</w:t>
      </w:r>
    </w:p>
    <w:p w:rsidR="008E328B" w:rsidRPr="00397519" w:rsidRDefault="008E328B" w:rsidP="008E328B">
      <w:pPr>
        <w:ind w:left="851" w:right="-318"/>
        <w:rPr>
          <w:szCs w:val="22"/>
          <w:lang w:val="en-US"/>
        </w:rPr>
      </w:pPr>
      <w:proofErr w:type="spellStart"/>
      <w:r w:rsidRPr="00397519">
        <w:rPr>
          <w:szCs w:val="22"/>
          <w:lang w:val="en-US"/>
        </w:rPr>
        <w:t>Ceva</w:t>
      </w:r>
      <w:proofErr w:type="spellEnd"/>
      <w:r w:rsidRPr="00397519">
        <w:rPr>
          <w:szCs w:val="22"/>
          <w:lang w:val="en-US"/>
        </w:rPr>
        <w:t xml:space="preserve"> Animal Health A/S</w:t>
      </w:r>
    </w:p>
    <w:p w:rsidR="008E328B" w:rsidRPr="00397519" w:rsidRDefault="008E328B" w:rsidP="008E328B">
      <w:pPr>
        <w:tabs>
          <w:tab w:val="left" w:pos="851"/>
        </w:tabs>
        <w:ind w:left="851"/>
        <w:rPr>
          <w:szCs w:val="22"/>
          <w:lang w:val="en-US"/>
        </w:rPr>
      </w:pPr>
      <w:proofErr w:type="spellStart"/>
      <w:r w:rsidRPr="00397519">
        <w:rPr>
          <w:szCs w:val="22"/>
          <w:lang w:val="en-US"/>
        </w:rPr>
        <w:t>Porschevej</w:t>
      </w:r>
      <w:proofErr w:type="spellEnd"/>
      <w:r w:rsidRPr="00397519">
        <w:rPr>
          <w:szCs w:val="22"/>
          <w:lang w:val="en-US"/>
        </w:rPr>
        <w:t xml:space="preserve"> 12 </w:t>
      </w:r>
    </w:p>
    <w:p w:rsidR="008E328B" w:rsidRPr="00397519" w:rsidRDefault="008E328B" w:rsidP="008E328B">
      <w:pPr>
        <w:tabs>
          <w:tab w:val="left" w:pos="851"/>
        </w:tabs>
        <w:ind w:left="851"/>
        <w:rPr>
          <w:bCs/>
          <w:szCs w:val="22"/>
        </w:rPr>
      </w:pPr>
      <w:r w:rsidRPr="00A9549F">
        <w:rPr>
          <w:szCs w:val="22"/>
        </w:rPr>
        <w:t>7100 Vejle</w:t>
      </w:r>
    </w:p>
    <w:p w:rsidR="008E328B" w:rsidRDefault="008E328B" w:rsidP="00111AC4">
      <w:pPr>
        <w:ind w:left="851" w:hanging="851"/>
        <w:jc w:val="both"/>
        <w:rPr>
          <w:sz w:val="24"/>
          <w:szCs w:val="24"/>
        </w:rPr>
      </w:pPr>
    </w:p>
    <w:p w:rsidR="008E328B" w:rsidRPr="00397519" w:rsidRDefault="008E328B" w:rsidP="008E328B">
      <w:pPr>
        <w:pStyle w:val="Style1"/>
        <w:ind w:left="851" w:hanging="851"/>
      </w:pPr>
      <w:r w:rsidRPr="00397519">
        <w:t>7.</w:t>
      </w:r>
      <w:r w:rsidRPr="00397519">
        <w:tab/>
        <w:t>MARKEDSFØRINGSTILLADELSESNUMMER (-NUMRE)</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50207</w:t>
      </w:r>
    </w:p>
    <w:p w:rsidR="008E328B" w:rsidRPr="00397519" w:rsidRDefault="008E328B" w:rsidP="008E328B">
      <w:pPr>
        <w:rPr>
          <w:szCs w:val="22"/>
        </w:rPr>
      </w:pPr>
    </w:p>
    <w:p w:rsidR="008E328B" w:rsidRPr="00397519" w:rsidRDefault="008E328B" w:rsidP="008E328B">
      <w:pPr>
        <w:pStyle w:val="Style1"/>
        <w:ind w:left="851" w:hanging="851"/>
      </w:pPr>
      <w:r w:rsidRPr="00397519">
        <w:t>8.</w:t>
      </w:r>
      <w:r w:rsidRPr="00397519">
        <w:tab/>
        <w:t>DATO FOR FØRSTE TILLADELSE</w:t>
      </w:r>
    </w:p>
    <w:p w:rsidR="008E328B" w:rsidRPr="00397519" w:rsidRDefault="008E328B" w:rsidP="008E328B">
      <w:pPr>
        <w:rPr>
          <w:szCs w:val="22"/>
        </w:rPr>
      </w:pPr>
    </w:p>
    <w:p w:rsidR="008E328B" w:rsidRPr="00397519" w:rsidRDefault="008E328B" w:rsidP="008E328B">
      <w:pPr>
        <w:ind w:left="851"/>
        <w:rPr>
          <w:szCs w:val="22"/>
        </w:rPr>
      </w:pPr>
      <w:r w:rsidRPr="00397519">
        <w:rPr>
          <w:szCs w:val="22"/>
        </w:rPr>
        <w:t>27. maj 2013</w:t>
      </w:r>
    </w:p>
    <w:p w:rsidR="008E328B" w:rsidRPr="00397519" w:rsidRDefault="008E328B" w:rsidP="008E328B">
      <w:pPr>
        <w:rPr>
          <w:szCs w:val="22"/>
        </w:rPr>
      </w:pPr>
    </w:p>
    <w:p w:rsidR="008E328B" w:rsidRPr="00397519" w:rsidRDefault="008E328B" w:rsidP="008E328B">
      <w:pPr>
        <w:rPr>
          <w:szCs w:val="22"/>
        </w:rPr>
      </w:pPr>
    </w:p>
    <w:p w:rsidR="008E328B" w:rsidRPr="00397519" w:rsidRDefault="008E328B" w:rsidP="008E328B">
      <w:pPr>
        <w:pStyle w:val="Style1"/>
        <w:ind w:left="851" w:hanging="851"/>
      </w:pPr>
      <w:r w:rsidRPr="00397519">
        <w:t>9.</w:t>
      </w:r>
      <w:r w:rsidRPr="00397519">
        <w:tab/>
        <w:t>DATO FOR SENESTE ÆNDRING AF PRODUKTRESUMÉET</w:t>
      </w:r>
    </w:p>
    <w:p w:rsidR="008E328B" w:rsidRPr="00397519" w:rsidRDefault="008E328B" w:rsidP="008E328B">
      <w:pPr>
        <w:rPr>
          <w:szCs w:val="22"/>
        </w:rPr>
      </w:pPr>
    </w:p>
    <w:p w:rsidR="008E328B" w:rsidRDefault="00FB6EBF" w:rsidP="008E328B">
      <w:pPr>
        <w:ind w:left="851"/>
        <w:rPr>
          <w:szCs w:val="22"/>
        </w:rPr>
      </w:pPr>
      <w:r>
        <w:rPr>
          <w:szCs w:val="22"/>
        </w:rPr>
        <w:t>21</w:t>
      </w:r>
      <w:bookmarkStart w:id="1" w:name="_GoBack"/>
      <w:bookmarkEnd w:id="1"/>
      <w:r w:rsidR="008E328B">
        <w:rPr>
          <w:szCs w:val="22"/>
        </w:rPr>
        <w:t>. december 2023</w:t>
      </w:r>
    </w:p>
    <w:p w:rsidR="008E328B" w:rsidRPr="00397519" w:rsidRDefault="008E328B" w:rsidP="008E328B">
      <w:pPr>
        <w:ind w:left="851"/>
        <w:rPr>
          <w:szCs w:val="22"/>
        </w:rPr>
      </w:pPr>
      <w:r w:rsidRPr="00397519">
        <w:rPr>
          <w:szCs w:val="22"/>
        </w:rPr>
        <w:t xml:space="preserve"> </w:t>
      </w:r>
    </w:p>
    <w:p w:rsidR="008E328B" w:rsidRPr="00397519" w:rsidRDefault="008E328B" w:rsidP="008E328B">
      <w:pPr>
        <w:pStyle w:val="Style1"/>
        <w:ind w:left="851" w:hanging="851"/>
      </w:pPr>
      <w:r w:rsidRPr="00397519">
        <w:t>10.</w:t>
      </w:r>
      <w:r w:rsidRPr="00397519">
        <w:tab/>
        <w:t>KLASSIFICERING AF VETERINÆRLÆGEMIDLER</w:t>
      </w:r>
    </w:p>
    <w:p w:rsidR="008E328B" w:rsidRPr="00397519" w:rsidRDefault="008E328B" w:rsidP="008E328B">
      <w:pPr>
        <w:rPr>
          <w:szCs w:val="22"/>
        </w:rPr>
      </w:pPr>
    </w:p>
    <w:p w:rsidR="008E328B" w:rsidRPr="00397519" w:rsidRDefault="008E328B" w:rsidP="008E328B">
      <w:pPr>
        <w:numPr>
          <w:ilvl w:val="12"/>
          <w:numId w:val="0"/>
        </w:numPr>
        <w:ind w:left="851"/>
        <w:rPr>
          <w:szCs w:val="22"/>
        </w:rPr>
      </w:pPr>
      <w:r>
        <w:rPr>
          <w:szCs w:val="22"/>
        </w:rPr>
        <w:t>BP.</w:t>
      </w:r>
    </w:p>
    <w:p w:rsidR="008E328B" w:rsidRPr="00397519" w:rsidRDefault="008E328B" w:rsidP="008E328B">
      <w:pPr>
        <w:ind w:right="-318"/>
        <w:rPr>
          <w:szCs w:val="22"/>
        </w:rPr>
      </w:pPr>
    </w:p>
    <w:p w:rsidR="00111AC4" w:rsidRPr="008E328B" w:rsidRDefault="008E328B" w:rsidP="008E328B">
      <w:pPr>
        <w:ind w:left="851" w:right="-318"/>
        <w:rPr>
          <w:szCs w:val="22"/>
        </w:rPr>
      </w:pPr>
      <w:bookmarkStart w:id="2" w:name="_Hlk73467306"/>
      <w:r w:rsidRPr="00397519">
        <w:rPr>
          <w:szCs w:val="22"/>
        </w:rPr>
        <w:t>Der findes detaljerede oplysninger om dette veterinærlægemiddel i EU-lægemiddeldatabasen.</w:t>
      </w:r>
      <w:bookmarkEnd w:id="2"/>
    </w:p>
    <w:p w:rsidR="0003527F" w:rsidRPr="00111AC4" w:rsidRDefault="0003527F" w:rsidP="00111AC4"/>
    <w:sectPr w:rsidR="0003527F" w:rsidRPr="00111AC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AC4" w:rsidRDefault="00111AC4">
      <w:r>
        <w:separator/>
      </w:r>
    </w:p>
  </w:endnote>
  <w:endnote w:type="continuationSeparator" w:id="0">
    <w:p w:rsidR="00111AC4" w:rsidRDefault="0011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14102">
      <w:rPr>
        <w:i/>
        <w:noProof/>
        <w:snapToGrid w:val="0"/>
        <w:sz w:val="18"/>
      </w:rPr>
      <w:t>Wellicox,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14102">
      <w:rPr>
        <w:i/>
        <w:noProof/>
        <w:snapToGrid w:val="0"/>
        <w:sz w:val="18"/>
      </w:rPr>
      <w:t>Wellicox,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AC4" w:rsidRDefault="00111AC4">
      <w:r>
        <w:separator/>
      </w:r>
    </w:p>
  </w:footnote>
  <w:footnote w:type="continuationSeparator" w:id="0">
    <w:p w:rsidR="00111AC4" w:rsidRDefault="0011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D30"/>
    <w:multiLevelType w:val="hybridMultilevel"/>
    <w:tmpl w:val="D7BE3CF4"/>
    <w:lvl w:ilvl="0" w:tplc="04060001">
      <w:start w:val="1"/>
      <w:numFmt w:val="bullet"/>
      <w:lvlText w:val=""/>
      <w:lvlJc w:val="left"/>
      <w:pPr>
        <w:ind w:left="12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78C094C"/>
    <w:multiLevelType w:val="hybridMultilevel"/>
    <w:tmpl w:val="90663092"/>
    <w:lvl w:ilvl="0" w:tplc="EB74679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9480D30"/>
    <w:multiLevelType w:val="hybridMultilevel"/>
    <w:tmpl w:val="330CC1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F167B1"/>
    <w:multiLevelType w:val="hybridMultilevel"/>
    <w:tmpl w:val="C520DD50"/>
    <w:lvl w:ilvl="0" w:tplc="04060001">
      <w:start w:val="1"/>
      <w:numFmt w:val="bullet"/>
      <w:lvlText w:val=""/>
      <w:lvlJc w:val="left"/>
      <w:pPr>
        <w:ind w:left="1290" w:hanging="360"/>
      </w:pPr>
      <w:rPr>
        <w:rFonts w:ascii="Symbol" w:hAnsi="Symbol" w:hint="default"/>
      </w:rPr>
    </w:lvl>
    <w:lvl w:ilvl="1" w:tplc="04060003" w:tentative="1">
      <w:start w:val="1"/>
      <w:numFmt w:val="bullet"/>
      <w:lvlText w:val="o"/>
      <w:lvlJc w:val="left"/>
      <w:pPr>
        <w:ind w:left="2010" w:hanging="360"/>
      </w:pPr>
      <w:rPr>
        <w:rFonts w:ascii="Courier New" w:hAnsi="Courier New" w:cs="Courier New" w:hint="default"/>
      </w:rPr>
    </w:lvl>
    <w:lvl w:ilvl="2" w:tplc="04060005" w:tentative="1">
      <w:start w:val="1"/>
      <w:numFmt w:val="bullet"/>
      <w:lvlText w:val=""/>
      <w:lvlJc w:val="left"/>
      <w:pPr>
        <w:ind w:left="2730" w:hanging="360"/>
      </w:pPr>
      <w:rPr>
        <w:rFonts w:ascii="Wingdings" w:hAnsi="Wingdings" w:hint="default"/>
      </w:rPr>
    </w:lvl>
    <w:lvl w:ilvl="3" w:tplc="04060001" w:tentative="1">
      <w:start w:val="1"/>
      <w:numFmt w:val="bullet"/>
      <w:lvlText w:val=""/>
      <w:lvlJc w:val="left"/>
      <w:pPr>
        <w:ind w:left="3450" w:hanging="360"/>
      </w:pPr>
      <w:rPr>
        <w:rFonts w:ascii="Symbol" w:hAnsi="Symbol" w:hint="default"/>
      </w:rPr>
    </w:lvl>
    <w:lvl w:ilvl="4" w:tplc="04060003" w:tentative="1">
      <w:start w:val="1"/>
      <w:numFmt w:val="bullet"/>
      <w:lvlText w:val="o"/>
      <w:lvlJc w:val="left"/>
      <w:pPr>
        <w:ind w:left="4170" w:hanging="360"/>
      </w:pPr>
      <w:rPr>
        <w:rFonts w:ascii="Courier New" w:hAnsi="Courier New" w:cs="Courier New" w:hint="default"/>
      </w:rPr>
    </w:lvl>
    <w:lvl w:ilvl="5" w:tplc="04060005" w:tentative="1">
      <w:start w:val="1"/>
      <w:numFmt w:val="bullet"/>
      <w:lvlText w:val=""/>
      <w:lvlJc w:val="left"/>
      <w:pPr>
        <w:ind w:left="4890" w:hanging="360"/>
      </w:pPr>
      <w:rPr>
        <w:rFonts w:ascii="Wingdings" w:hAnsi="Wingdings" w:hint="default"/>
      </w:rPr>
    </w:lvl>
    <w:lvl w:ilvl="6" w:tplc="04060001" w:tentative="1">
      <w:start w:val="1"/>
      <w:numFmt w:val="bullet"/>
      <w:lvlText w:val=""/>
      <w:lvlJc w:val="left"/>
      <w:pPr>
        <w:ind w:left="5610" w:hanging="360"/>
      </w:pPr>
      <w:rPr>
        <w:rFonts w:ascii="Symbol" w:hAnsi="Symbol" w:hint="default"/>
      </w:rPr>
    </w:lvl>
    <w:lvl w:ilvl="7" w:tplc="04060003" w:tentative="1">
      <w:start w:val="1"/>
      <w:numFmt w:val="bullet"/>
      <w:lvlText w:val="o"/>
      <w:lvlJc w:val="left"/>
      <w:pPr>
        <w:ind w:left="6330" w:hanging="360"/>
      </w:pPr>
      <w:rPr>
        <w:rFonts w:ascii="Courier New" w:hAnsi="Courier New" w:cs="Courier New" w:hint="default"/>
      </w:rPr>
    </w:lvl>
    <w:lvl w:ilvl="8" w:tplc="04060005" w:tentative="1">
      <w:start w:val="1"/>
      <w:numFmt w:val="bullet"/>
      <w:lvlText w:val=""/>
      <w:lvlJc w:val="left"/>
      <w:pPr>
        <w:ind w:left="7050"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13626AC"/>
    <w:multiLevelType w:val="hybridMultilevel"/>
    <w:tmpl w:val="AF142DDC"/>
    <w:lvl w:ilvl="0" w:tplc="04060001">
      <w:start w:val="1"/>
      <w:numFmt w:val="bullet"/>
      <w:lvlText w:val=""/>
      <w:lvlJc w:val="left"/>
      <w:pPr>
        <w:ind w:left="12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46A7878"/>
    <w:multiLevelType w:val="hybridMultilevel"/>
    <w:tmpl w:val="DB3C0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2DA6526"/>
    <w:multiLevelType w:val="hybridMultilevel"/>
    <w:tmpl w:val="66AC3E94"/>
    <w:lvl w:ilvl="0" w:tplc="0406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5C568E7"/>
    <w:multiLevelType w:val="hybridMultilevel"/>
    <w:tmpl w:val="687E0F40"/>
    <w:lvl w:ilvl="0" w:tplc="04060001">
      <w:start w:val="1"/>
      <w:numFmt w:val="bullet"/>
      <w:lvlText w:val=""/>
      <w:lvlJc w:val="left"/>
      <w:pPr>
        <w:ind w:left="12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7"/>
  </w:num>
  <w:num w:numId="5">
    <w:abstractNumId w:val="10"/>
  </w:num>
  <w:num w:numId="6">
    <w:abstractNumId w:val="0"/>
  </w:num>
  <w:num w:numId="7">
    <w:abstractNumId w:val="9"/>
  </w:num>
  <w:num w:numId="8">
    <w:abstractNumId w:val="2"/>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C4"/>
    <w:rsid w:val="0003527F"/>
    <w:rsid w:val="00065C7D"/>
    <w:rsid w:val="000C6CD4"/>
    <w:rsid w:val="00111AC4"/>
    <w:rsid w:val="001577E4"/>
    <w:rsid w:val="001858CA"/>
    <w:rsid w:val="001C4AEF"/>
    <w:rsid w:val="001D3CC5"/>
    <w:rsid w:val="0021127C"/>
    <w:rsid w:val="00322BDE"/>
    <w:rsid w:val="00401194"/>
    <w:rsid w:val="00406EE7"/>
    <w:rsid w:val="00407013"/>
    <w:rsid w:val="004466F3"/>
    <w:rsid w:val="004A2E0B"/>
    <w:rsid w:val="004A62CC"/>
    <w:rsid w:val="00565A74"/>
    <w:rsid w:val="005B0036"/>
    <w:rsid w:val="005F5831"/>
    <w:rsid w:val="00662012"/>
    <w:rsid w:val="00666B01"/>
    <w:rsid w:val="006B1539"/>
    <w:rsid w:val="006D4B41"/>
    <w:rsid w:val="006F5621"/>
    <w:rsid w:val="00784FD8"/>
    <w:rsid w:val="007E2A00"/>
    <w:rsid w:val="008010F2"/>
    <w:rsid w:val="008913D6"/>
    <w:rsid w:val="008B6E0A"/>
    <w:rsid w:val="008E328B"/>
    <w:rsid w:val="009202AE"/>
    <w:rsid w:val="00932676"/>
    <w:rsid w:val="00943662"/>
    <w:rsid w:val="009D66C6"/>
    <w:rsid w:val="00A96525"/>
    <w:rsid w:val="00AE29E5"/>
    <w:rsid w:val="00AE5757"/>
    <w:rsid w:val="00B20C8B"/>
    <w:rsid w:val="00B25EB8"/>
    <w:rsid w:val="00BC634B"/>
    <w:rsid w:val="00BF2AE0"/>
    <w:rsid w:val="00C479BF"/>
    <w:rsid w:val="00D567AA"/>
    <w:rsid w:val="00DD6D71"/>
    <w:rsid w:val="00DF32BE"/>
    <w:rsid w:val="00E14F0A"/>
    <w:rsid w:val="00EB5778"/>
    <w:rsid w:val="00EE5253"/>
    <w:rsid w:val="00EF6109"/>
    <w:rsid w:val="00F14102"/>
    <w:rsid w:val="00FA66E4"/>
    <w:rsid w:val="00FB6EBF"/>
    <w:rsid w:val="00FD59F9"/>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CB1C"/>
  <w15:chartTrackingRefBased/>
  <w15:docId w15:val="{D0D54CEE-0480-4D8C-B57B-B7A5B16C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111AC4"/>
    <w:pPr>
      <w:ind w:left="720"/>
      <w:contextualSpacing/>
    </w:pPr>
  </w:style>
  <w:style w:type="paragraph" w:customStyle="1" w:styleId="Style1">
    <w:name w:val="Style1"/>
    <w:basedOn w:val="Normal"/>
    <w:qFormat/>
    <w:rsid w:val="004466F3"/>
    <w:pPr>
      <w:tabs>
        <w:tab w:val="left" w:pos="0"/>
      </w:tabs>
      <w:ind w:left="567" w:hanging="567"/>
    </w:pPr>
    <w:rPr>
      <w:b/>
      <w:sz w:val="22"/>
      <w:szCs w:val="22"/>
    </w:rPr>
  </w:style>
  <w:style w:type="paragraph" w:customStyle="1" w:styleId="Style5">
    <w:name w:val="Style5"/>
    <w:basedOn w:val="Normal"/>
    <w:qFormat/>
    <w:rsid w:val="008E328B"/>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2054</Words>
  <Characters>13419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2022121002 - pkt._x000d_
1, 2, 3.3, 3.5, 3.6, 3.7, 3.9, 4.3, 5.2, 10</dc:description>
  <cp:lastModifiedBy>Line Aaboe Würtz</cp:lastModifiedBy>
  <cp:revision>6</cp:revision>
  <dcterms:created xsi:type="dcterms:W3CDTF">2023-12-17T18:01:00Z</dcterms:created>
  <dcterms:modified xsi:type="dcterms:W3CDTF">2023-12-21T02:39:00Z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